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88A08A" w14:textId="5C7DAF34" w:rsidR="00047F47" w:rsidRDefault="00047F47" w:rsidP="00047F47">
      <w:pPr>
        <w:spacing w:before="480" w:after="160"/>
        <w:jc w:val="center"/>
        <w:rPr>
          <w:b/>
          <w:bCs/>
          <w:color w:val="1F3864"/>
          <w:sz w:val="52"/>
          <w:szCs w:val="52"/>
        </w:rPr>
      </w:pPr>
      <w:r>
        <w:rPr>
          <w:noProof/>
        </w:rPr>
        <w:drawing>
          <wp:inline distT="0" distB="0" distL="0" distR="0" wp14:anchorId="08D594EF" wp14:editId="42853CD7">
            <wp:extent cx="3505200" cy="3505200"/>
            <wp:effectExtent l="0" t="0" r="0" b="0"/>
            <wp:docPr id="434562132" name="Picture 1" descr="A logo of a government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562132" name="Picture 1" descr="A logo of a government building&#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49671" cy="3549671"/>
                    </a:xfrm>
                    <a:prstGeom prst="rect">
                      <a:avLst/>
                    </a:prstGeom>
                  </pic:spPr>
                </pic:pic>
              </a:graphicData>
            </a:graphic>
          </wp:inline>
        </w:drawing>
      </w:r>
    </w:p>
    <w:p w14:paraId="348B1F76" w14:textId="2B932895" w:rsidR="007E16BE" w:rsidRDefault="000A5A0A">
      <w:pPr>
        <w:spacing w:before="480" w:after="160"/>
        <w:jc w:val="center"/>
      </w:pPr>
      <w:r>
        <w:rPr>
          <w:b/>
          <w:bCs/>
          <w:color w:val="1F3864"/>
          <w:sz w:val="52"/>
          <w:szCs w:val="52"/>
        </w:rPr>
        <w:t>JONATHAN CHAVEZ</w:t>
      </w:r>
    </w:p>
    <w:p w14:paraId="5842B8D3" w14:textId="77777777" w:rsidR="007E16BE" w:rsidRDefault="000A5A0A">
      <w:pPr>
        <w:spacing w:after="100"/>
        <w:jc w:val="center"/>
      </w:pPr>
      <w:r>
        <w:rPr>
          <w:b/>
          <w:bCs/>
          <w:color w:val="C00000"/>
          <w:sz w:val="44"/>
          <w:szCs w:val="44"/>
        </w:rPr>
        <w:t>FOR CONGRESS</w:t>
      </w:r>
    </w:p>
    <w:p w14:paraId="12B95C85" w14:textId="77777777" w:rsidR="007E16BE" w:rsidRDefault="000A5A0A">
      <w:pPr>
        <w:spacing w:after="60"/>
        <w:jc w:val="center"/>
      </w:pPr>
      <w:r>
        <w:rPr>
          <w:i/>
          <w:iCs/>
          <w:color w:val="444444"/>
          <w:sz w:val="28"/>
          <w:szCs w:val="28"/>
        </w:rPr>
        <w:t>Georgia's 13th Congressional District</w:t>
      </w:r>
    </w:p>
    <w:p w14:paraId="6C1F1EB9" w14:textId="77777777" w:rsidR="007E16BE" w:rsidRDefault="007E16BE">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16BE" w14:paraId="013EE665" w14:textId="77777777">
        <w:tc>
          <w:tcPr>
            <w:tcW w:w="9360" w:type="dxa"/>
            <w:tcBorders>
              <w:top w:val="none" w:sz="0" w:space="0" w:color="FFFFFF"/>
              <w:left w:val="none" w:sz="0" w:space="0" w:color="FFFFFF"/>
              <w:bottom w:val="none" w:sz="0" w:space="0" w:color="FFFFFF"/>
              <w:right w:val="none" w:sz="0" w:space="0" w:color="FFFFFF"/>
            </w:tcBorders>
            <w:shd w:val="clear" w:color="auto" w:fill="1F3864"/>
            <w:tcMar>
              <w:top w:w="220" w:type="dxa"/>
              <w:left w:w="360" w:type="dxa"/>
              <w:bottom w:w="220" w:type="dxa"/>
              <w:right w:w="360" w:type="dxa"/>
            </w:tcMar>
          </w:tcPr>
          <w:p w14:paraId="00EA9932" w14:textId="1249E527" w:rsidR="007E16BE" w:rsidRDefault="000A5A0A">
            <w:pPr>
              <w:jc w:val="center"/>
            </w:pPr>
            <w:r>
              <w:rPr>
                <w:b/>
                <w:bCs/>
                <w:color w:val="FFFFFF"/>
                <w:sz w:val="28"/>
                <w:szCs w:val="28"/>
              </w:rPr>
              <w:t xml:space="preserve">HEALTHCARE FOR EVERY FAMILY IN </w:t>
            </w:r>
            <w:r w:rsidR="00047F47">
              <w:rPr>
                <w:b/>
                <w:bCs/>
                <w:color w:val="FFFFFF"/>
                <w:sz w:val="28"/>
                <w:szCs w:val="28"/>
              </w:rPr>
              <w:t>GEORGIA’S 13</w:t>
            </w:r>
            <w:r w:rsidR="00047F47" w:rsidRPr="00047F47">
              <w:rPr>
                <w:b/>
                <w:bCs/>
                <w:color w:val="FFFFFF"/>
                <w:sz w:val="28"/>
                <w:szCs w:val="28"/>
                <w:vertAlign w:val="superscript"/>
              </w:rPr>
              <w:t>TH</w:t>
            </w:r>
            <w:r w:rsidR="00047F47">
              <w:rPr>
                <w:b/>
                <w:bCs/>
                <w:color w:val="FFFFFF"/>
                <w:sz w:val="28"/>
                <w:szCs w:val="28"/>
              </w:rPr>
              <w:t xml:space="preserve"> DISTRICT</w:t>
            </w:r>
          </w:p>
          <w:p w14:paraId="4303BB8D" w14:textId="110CB69C" w:rsidR="007E16BE" w:rsidRDefault="000A5A0A">
            <w:pPr>
              <w:jc w:val="center"/>
            </w:pPr>
            <w:r>
              <w:rPr>
                <w:i/>
                <w:iCs/>
                <w:color w:val="AEC6E8"/>
              </w:rPr>
              <w:t xml:space="preserve">A </w:t>
            </w:r>
            <w:r w:rsidR="00047F47">
              <w:rPr>
                <w:i/>
                <w:iCs/>
                <w:color w:val="AEC6E8"/>
              </w:rPr>
              <w:t>Free-Market</w:t>
            </w:r>
            <w:r>
              <w:rPr>
                <w:i/>
                <w:iCs/>
                <w:color w:val="AEC6E8"/>
              </w:rPr>
              <w:t xml:space="preserve"> Framework </w:t>
            </w:r>
          </w:p>
        </w:tc>
      </w:tr>
    </w:tbl>
    <w:p w14:paraId="65196B49" w14:textId="77777777" w:rsidR="007E16BE" w:rsidRDefault="007E16BE">
      <w:pPr>
        <w:spacing w:after="160"/>
      </w:pPr>
    </w:p>
    <w:p w14:paraId="746857EA" w14:textId="77777777" w:rsidR="007E16BE" w:rsidRDefault="000A5A0A">
      <w:r>
        <w:br w:type="page"/>
      </w:r>
    </w:p>
    <w:p w14:paraId="62019821" w14:textId="77777777" w:rsidR="007E16BE" w:rsidRDefault="000A5A0A">
      <w:pPr>
        <w:pStyle w:val="Heading1"/>
        <w:pBdr>
          <w:bottom w:val="single" w:sz="8" w:space="4" w:color="2E75B6"/>
        </w:pBdr>
      </w:pPr>
      <w:r>
        <w:lastRenderedPageBreak/>
        <w:t>Foreword</w:t>
      </w:r>
    </w:p>
    <w:p w14:paraId="72360805" w14:textId="3869064C" w:rsidR="007E16BE" w:rsidRDefault="000A5A0A">
      <w:pPr>
        <w:spacing w:before="60" w:after="120"/>
      </w:pPr>
      <w:r>
        <w:rPr>
          <w:color w:val="222222"/>
        </w:rPr>
        <w:t>The experience of working within the American healthcare system provides a perspective that no policy brief fully captures. As Director of Imaging at Piedmont Rockdale Hospital, this author observes, on a weekly basis, the practical consequences of a system that fails to connect coverage with care. Patients who arrive for medically necessary imaging studies</w:t>
      </w:r>
      <w:r w:rsidR="00A32BC8">
        <w:rPr>
          <w:color w:val="222222"/>
        </w:rPr>
        <w:t xml:space="preserve">; </w:t>
      </w:r>
      <w:r>
        <w:rPr>
          <w:color w:val="222222"/>
        </w:rPr>
        <w:t>CT, MRI, and X-ray</w:t>
      </w:r>
      <w:r w:rsidR="00A32BC8">
        <w:rPr>
          <w:color w:val="222222"/>
        </w:rPr>
        <w:t xml:space="preserve">, </w:t>
      </w:r>
      <w:r>
        <w:rPr>
          <w:color w:val="222222"/>
        </w:rPr>
        <w:t>routinely face unexpected financial obstacles before a single diagnostic procedure is performed. Inquiries about deductibles, coverage determinations, and year-to-date out-of-pocket expenditures precede clinical interactions with regularity. The downstream consequences are well-documented: delayed diagnoses, deferred treatment, and avoidable emergency department utilization that imposes substantially higher costs on both patients and the healthcare system.</w:t>
      </w:r>
    </w:p>
    <w:p w14:paraId="1DDEA673" w14:textId="77777777" w:rsidR="007E16BE" w:rsidRDefault="007E16BE">
      <w:pPr>
        <w:spacing w:after="80"/>
      </w:pPr>
    </w:p>
    <w:p w14:paraId="01A43C35" w14:textId="77777777" w:rsidR="007E16BE" w:rsidRDefault="000A5A0A">
      <w:pPr>
        <w:spacing w:before="60" w:after="120"/>
      </w:pPr>
      <w:r>
        <w:rPr>
          <w:color w:val="222222"/>
        </w:rPr>
        <w:t>This platform draws on more than a decade of direct operational experience within the healthcare system, including management of prior authorization workflows, billing dispute resolution, staffing planning, and patient financial counseling. The policy proposals contained herein are not derived from theoretical models alone; they reflect a sustained engagement with the structural failures that constrain care delivery in communities across Georgia's 13th Congressional District.</w:t>
      </w:r>
    </w:p>
    <w:p w14:paraId="14A67A19" w14:textId="77777777" w:rsidR="007E16BE" w:rsidRDefault="007E16BE">
      <w:pPr>
        <w:spacing w:after="80"/>
      </w:pPr>
    </w:p>
    <w:p w14:paraId="51A6D771" w14:textId="77777777" w:rsidR="007E16BE" w:rsidRDefault="000A5A0A">
      <w:pPr>
        <w:spacing w:before="60" w:after="120"/>
      </w:pPr>
      <w:r>
        <w:rPr>
          <w:color w:val="222222"/>
        </w:rPr>
        <w:t>This document presents a healthcare reform platform grounded in three core principles: the expansion of genuine market competition, the establishment of a uniform federal coverage floor, and the creation of a targeted federal backstop for pre-existing conditions. It is neither an endorsement of single-payer coverage expansion nor a proposal to eliminate existing consumer protections. It is a carefully constructed framework designed to produce durable, measurable improvements in healthcare access, affordability, and quality for the residents of GA-13.</w:t>
      </w:r>
    </w:p>
    <w:p w14:paraId="08A3DE89" w14:textId="77777777" w:rsidR="007E16BE" w:rsidRDefault="007E16BE">
      <w:pPr>
        <w:spacing w:after="80"/>
      </w:pPr>
    </w:p>
    <w:p w14:paraId="119CECCA" w14:textId="1E54E610" w:rsidR="007E16BE" w:rsidRDefault="000A5A0A">
      <w:pPr>
        <w:spacing w:before="60" w:after="120"/>
      </w:pPr>
      <w:r>
        <w:rPr>
          <w:b/>
          <w:bCs/>
          <w:color w:val="222222"/>
        </w:rPr>
        <w:t>Jonathan Chavez</w:t>
      </w:r>
    </w:p>
    <w:p w14:paraId="4C34ABA4" w14:textId="77777777" w:rsidR="007E16BE" w:rsidRDefault="000A5A0A">
      <w:pPr>
        <w:spacing w:before="60" w:after="120"/>
      </w:pPr>
      <w:r>
        <w:rPr>
          <w:i/>
          <w:iCs/>
          <w:color w:val="222222"/>
        </w:rPr>
        <w:t>Candidate, Georgia's 13th Congressional District</w:t>
      </w:r>
    </w:p>
    <w:p w14:paraId="1BA99D81" w14:textId="77777777" w:rsidR="007E16BE" w:rsidRDefault="000A5A0A">
      <w:r>
        <w:br w:type="page"/>
      </w:r>
    </w:p>
    <w:p w14:paraId="550C190E" w14:textId="77777777" w:rsidR="007E16BE" w:rsidRDefault="000A5A0A">
      <w:pPr>
        <w:pStyle w:val="Heading1"/>
        <w:pBdr>
          <w:bottom w:val="single" w:sz="8" w:space="4" w:color="2E75B6"/>
        </w:pBdr>
      </w:pPr>
      <w:r>
        <w:lastRenderedPageBreak/>
        <w:t>Section I: The Healthcare Crisis in GA-13</w:t>
      </w:r>
    </w:p>
    <w:p w14:paraId="4C2A1AF5" w14:textId="63D0F0F1" w:rsidR="007E16BE" w:rsidRDefault="000A5A0A">
      <w:pPr>
        <w:spacing w:before="60" w:after="120"/>
      </w:pPr>
      <w:r>
        <w:rPr>
          <w:color w:val="222222"/>
        </w:rPr>
        <w:t>Georgia ranks among the states with the highest rates of uninsured residents, holding the third-highest uninsured rate in the nation. Approximately 1.2 million Georgians under the age of 65 lack health insurance coverage entirely. Within the counties comprising Georgia's 13th Congressional District</w:t>
      </w:r>
      <w:r w:rsidR="00A32BC8">
        <w:rPr>
          <w:color w:val="222222"/>
        </w:rPr>
        <w:t xml:space="preserve">, </w:t>
      </w:r>
      <w:r>
        <w:rPr>
          <w:color w:val="222222"/>
        </w:rPr>
        <w:t>including Clayton, DeKalb, Rockdale, Henry, and Newton</w:t>
      </w:r>
      <w:r w:rsidR="00A32BC8">
        <w:rPr>
          <w:color w:val="222222"/>
        </w:rPr>
        <w:t xml:space="preserve">, </w:t>
      </w:r>
      <w:r>
        <w:rPr>
          <w:color w:val="222222"/>
        </w:rPr>
        <w:t>the consequences of this coverage gap are demonstrably severe. Primary care access is limited in multiple communities, emergency department utilization substitutes for routine medical care in underserved areas, and a serious diagnosis frequently carries the risk of financial catastrophe in addition to its direct health consequences.</w:t>
      </w:r>
    </w:p>
    <w:p w14:paraId="0658FFED" w14:textId="77777777" w:rsidR="007E16BE" w:rsidRDefault="007E16BE">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7E16BE" w14:paraId="5B16059F" w14:textId="77777777" w:rsidTr="007604AC">
        <w:trPr>
          <w:trHeight w:val="598"/>
        </w:trPr>
        <w:tc>
          <w:tcPr>
            <w:tcW w:w="4680" w:type="dxa"/>
            <w:tcBorders>
              <w:top w:val="single" w:sz="1" w:space="0" w:color="CCCCCC"/>
              <w:left w:val="single" w:sz="1" w:space="0" w:color="CCCCCC"/>
              <w:bottom w:val="single" w:sz="1" w:space="0" w:color="CCCCCC"/>
              <w:right w:val="single" w:sz="1" w:space="0" w:color="CCCCCC"/>
            </w:tcBorders>
            <w:shd w:val="clear" w:color="auto" w:fill="1F3864"/>
            <w:tcMar>
              <w:top w:w="120" w:type="dxa"/>
              <w:left w:w="180" w:type="dxa"/>
              <w:bottom w:w="120" w:type="dxa"/>
              <w:right w:w="180" w:type="dxa"/>
            </w:tcMar>
            <w:vAlign w:val="center"/>
          </w:tcPr>
          <w:p w14:paraId="1F5ECF30" w14:textId="77777777" w:rsidR="007E16BE" w:rsidRDefault="000A5A0A">
            <w:r>
              <w:rPr>
                <w:b/>
                <w:bCs/>
                <w:color w:val="FFFFFF"/>
                <w:sz w:val="24"/>
                <w:szCs w:val="24"/>
              </w:rPr>
              <w:t>~1.2 million</w:t>
            </w:r>
          </w:p>
          <w:p w14:paraId="133F1EBC" w14:textId="77777777" w:rsidR="007E16BE" w:rsidRDefault="000A5A0A">
            <w:r w:rsidRPr="007604AC">
              <w:rPr>
                <w:color w:val="FFFFFF" w:themeColor="background1"/>
                <w:sz w:val="18"/>
                <w:szCs w:val="18"/>
              </w:rPr>
              <w:t>Uninsured Georgians under 65 (ACS 2024)</w:t>
            </w:r>
          </w:p>
        </w:tc>
        <w:tc>
          <w:tcPr>
            <w:tcW w:w="4680" w:type="dxa"/>
            <w:tcBorders>
              <w:top w:val="single" w:sz="1" w:space="0" w:color="CCCCCC"/>
              <w:left w:val="single" w:sz="1" w:space="0" w:color="CCCCCC"/>
              <w:bottom w:val="single" w:sz="1" w:space="0" w:color="CCCCCC"/>
              <w:right w:val="single" w:sz="1" w:space="0" w:color="CCCCCC"/>
            </w:tcBorders>
            <w:shd w:val="clear" w:color="auto" w:fill="EEF3FA"/>
            <w:tcMar>
              <w:top w:w="120" w:type="dxa"/>
              <w:left w:w="180" w:type="dxa"/>
              <w:bottom w:w="120" w:type="dxa"/>
              <w:right w:w="180" w:type="dxa"/>
            </w:tcMar>
            <w:vAlign w:val="center"/>
          </w:tcPr>
          <w:p w14:paraId="778AD1E8" w14:textId="77777777" w:rsidR="007E16BE" w:rsidRDefault="000A5A0A">
            <w:r>
              <w:rPr>
                <w:b/>
                <w:bCs/>
                <w:color w:val="C00000"/>
                <w:sz w:val="24"/>
                <w:szCs w:val="24"/>
              </w:rPr>
              <w:t>3rd Highest</w:t>
            </w:r>
          </w:p>
          <w:p w14:paraId="23A3B9A7" w14:textId="77777777" w:rsidR="007E16BE" w:rsidRDefault="000A5A0A">
            <w:r>
              <w:rPr>
                <w:color w:val="555555"/>
                <w:sz w:val="18"/>
                <w:szCs w:val="18"/>
              </w:rPr>
              <w:t>Georgia's national uninsured ranking</w:t>
            </w:r>
          </w:p>
        </w:tc>
      </w:tr>
    </w:tbl>
    <w:p w14:paraId="76E28950" w14:textId="77777777" w:rsidR="007E16BE" w:rsidRDefault="007E16BE">
      <w:pPr>
        <w:spacing w:after="80"/>
      </w:pPr>
    </w:p>
    <w:p w14:paraId="6BBAB91F" w14:textId="77777777" w:rsidR="007E16BE" w:rsidRDefault="000A5A0A">
      <w:pPr>
        <w:spacing w:before="30" w:after="60"/>
      </w:pPr>
      <w:r>
        <w:rPr>
          <w:i/>
          <w:iCs/>
          <w:color w:val="777777"/>
          <w:sz w:val="17"/>
          <w:szCs w:val="17"/>
        </w:rPr>
        <w:t>Source: America's Health Rankings / U.S. Census Bureau ACS 2024; Georgia Public Broadcasting, September 2024</w:t>
      </w:r>
    </w:p>
    <w:p w14:paraId="755CCC3A" w14:textId="77777777" w:rsidR="007E16BE" w:rsidRDefault="007E16BE">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7E16BE" w14:paraId="36AB2F86" w14:textId="77777777" w:rsidTr="007604AC">
        <w:trPr>
          <w:trHeight w:val="562"/>
        </w:trPr>
        <w:tc>
          <w:tcPr>
            <w:tcW w:w="4680" w:type="dxa"/>
            <w:tcBorders>
              <w:top w:val="single" w:sz="1" w:space="0" w:color="CCCCCC"/>
              <w:left w:val="single" w:sz="1" w:space="0" w:color="CCCCCC"/>
              <w:bottom w:val="single" w:sz="1" w:space="0" w:color="CCCCCC"/>
              <w:right w:val="single" w:sz="1" w:space="0" w:color="CCCCCC"/>
            </w:tcBorders>
            <w:shd w:val="clear" w:color="auto" w:fill="1F3864"/>
            <w:tcMar>
              <w:top w:w="120" w:type="dxa"/>
              <w:left w:w="180" w:type="dxa"/>
              <w:bottom w:w="120" w:type="dxa"/>
              <w:right w:w="180" w:type="dxa"/>
            </w:tcMar>
            <w:vAlign w:val="center"/>
          </w:tcPr>
          <w:p w14:paraId="0413B18E" w14:textId="77777777" w:rsidR="007E16BE" w:rsidRDefault="000A5A0A">
            <w:r>
              <w:rPr>
                <w:b/>
                <w:bCs/>
                <w:color w:val="FFFFFF"/>
                <w:sz w:val="24"/>
                <w:szCs w:val="24"/>
              </w:rPr>
              <w:t>$9,450</w:t>
            </w:r>
          </w:p>
          <w:p w14:paraId="028F3808" w14:textId="77777777" w:rsidR="007E16BE" w:rsidRDefault="000A5A0A">
            <w:r w:rsidRPr="007604AC">
              <w:rPr>
                <w:color w:val="FFFFFF" w:themeColor="background1"/>
                <w:sz w:val="18"/>
                <w:szCs w:val="18"/>
              </w:rPr>
              <w:t>Annual individual out-of-pocket maximum (2024)</w:t>
            </w:r>
          </w:p>
        </w:tc>
        <w:tc>
          <w:tcPr>
            <w:tcW w:w="4680" w:type="dxa"/>
            <w:tcBorders>
              <w:top w:val="single" w:sz="1" w:space="0" w:color="CCCCCC"/>
              <w:left w:val="single" w:sz="1" w:space="0" w:color="CCCCCC"/>
              <w:bottom w:val="single" w:sz="1" w:space="0" w:color="CCCCCC"/>
              <w:right w:val="single" w:sz="1" w:space="0" w:color="CCCCCC"/>
            </w:tcBorders>
            <w:shd w:val="clear" w:color="auto" w:fill="EEF3FA"/>
            <w:tcMar>
              <w:top w:w="120" w:type="dxa"/>
              <w:left w:w="180" w:type="dxa"/>
              <w:bottom w:w="120" w:type="dxa"/>
              <w:right w:w="180" w:type="dxa"/>
            </w:tcMar>
            <w:vAlign w:val="center"/>
          </w:tcPr>
          <w:p w14:paraId="4B653B29" w14:textId="77777777" w:rsidR="007E16BE" w:rsidRDefault="000A5A0A">
            <w:r>
              <w:rPr>
                <w:b/>
                <w:bCs/>
                <w:color w:val="C00000"/>
                <w:sz w:val="24"/>
                <w:szCs w:val="24"/>
              </w:rPr>
              <w:t>$18,900</w:t>
            </w:r>
          </w:p>
          <w:p w14:paraId="059B6CD7" w14:textId="77777777" w:rsidR="007E16BE" w:rsidRDefault="000A5A0A">
            <w:r>
              <w:rPr>
                <w:color w:val="555555"/>
                <w:sz w:val="18"/>
                <w:szCs w:val="18"/>
              </w:rPr>
              <w:t>Annual family out-of-pocket maximum (2024)</w:t>
            </w:r>
          </w:p>
        </w:tc>
      </w:tr>
    </w:tbl>
    <w:p w14:paraId="604B0317" w14:textId="77777777" w:rsidR="007E16BE" w:rsidRDefault="007E16BE">
      <w:pPr>
        <w:spacing w:after="80"/>
      </w:pPr>
    </w:p>
    <w:p w14:paraId="38C27A46" w14:textId="77777777" w:rsidR="007E16BE" w:rsidRDefault="000A5A0A">
      <w:pPr>
        <w:spacing w:before="30" w:after="60"/>
      </w:pPr>
      <w:r>
        <w:rPr>
          <w:i/>
          <w:iCs/>
          <w:color w:val="777777"/>
          <w:sz w:val="17"/>
          <w:szCs w:val="17"/>
        </w:rPr>
        <w:t>Source: HHS / ACA Out-of-Pocket Limit Schedule, 2024</w:t>
      </w:r>
    </w:p>
    <w:p w14:paraId="17D99F02" w14:textId="77777777" w:rsidR="007E16BE" w:rsidRDefault="007E16BE">
      <w:pPr>
        <w:spacing w:after="80"/>
      </w:pPr>
    </w:p>
    <w:p w14:paraId="12B5BF75" w14:textId="3155D750" w:rsidR="007E16BE" w:rsidRDefault="000A5A0A">
      <w:pPr>
        <w:spacing w:before="60" w:after="120"/>
      </w:pPr>
      <w:r>
        <w:rPr>
          <w:color w:val="222222"/>
        </w:rPr>
        <w:t>The systemic factors driving these outcomes are well-established. Georgia has not adopted full Medicaid expansion under the Affordable Care Act, creating a coverage gap that leaves adults who earn too little to qualify for marketplace subsidies without an affordable coverage option. Pharmaceutical pricing in the United States consistently runs two to three times the cost of identical medications in comparable economies, a disparity attributable not to market forces but to sustained legislative protection of pharmaceutical pricing discretion. Ground ambulance billing remains largely exempt from the surprise billing protections extended to other emergency services. Most significantly, administrative overhead</w:t>
      </w:r>
      <w:r w:rsidR="00D84EC9">
        <w:rPr>
          <w:color w:val="222222"/>
        </w:rPr>
        <w:t xml:space="preserve">, </w:t>
      </w:r>
      <w:r>
        <w:rPr>
          <w:color w:val="222222"/>
        </w:rPr>
        <w:t>encompassing billing, coding, claims adjudication, and prior authorization</w:t>
      </w:r>
      <w:r w:rsidR="00D84EC9">
        <w:rPr>
          <w:color w:val="222222"/>
        </w:rPr>
        <w:t>,</w:t>
      </w:r>
      <w:r>
        <w:rPr>
          <w:color w:val="222222"/>
        </w:rPr>
        <w:t xml:space="preserve"> consumes approximately thirty cents of every healthcare dollar expended in the United States before any treatment is rendered, according to research published in Health Affairs by Himmelstein and colleagues in 2020.</w:t>
      </w:r>
    </w:p>
    <w:p w14:paraId="617EBA07" w14:textId="77777777" w:rsidR="007E16BE" w:rsidRDefault="007E16BE">
      <w:pPr>
        <w:spacing w:after="80"/>
      </w:pPr>
    </w:p>
    <w:p w14:paraId="55B3862B" w14:textId="77777777" w:rsidR="007E16BE" w:rsidRDefault="000A5A0A">
      <w:pPr>
        <w:spacing w:before="60" w:after="120"/>
      </w:pPr>
      <w:r>
        <w:rPr>
          <w:color w:val="222222"/>
        </w:rPr>
        <w:t>Congressional responses to these conditions have been characterized by a binary debate between expansion of government insurance programs and rollback of existing consumer protections. Neither approach has adequately engaged the structural question of whether the insurance market itself can be reformed to produce better outcomes. This platform proceeds from the premise that it can, provided the reform framework is correctly constructed.</w:t>
      </w:r>
    </w:p>
    <w:p w14:paraId="632F017A" w14:textId="77777777" w:rsidR="007E16BE" w:rsidRDefault="000A5A0A">
      <w:r>
        <w:br w:type="page"/>
      </w:r>
    </w:p>
    <w:p w14:paraId="1D5887B4" w14:textId="77777777" w:rsidR="007E16BE" w:rsidRDefault="000A5A0A">
      <w:pPr>
        <w:pStyle w:val="Heading1"/>
        <w:pBdr>
          <w:bottom w:val="single" w:sz="8" w:space="4" w:color="2E75B6"/>
        </w:pBdr>
      </w:pPr>
      <w:r>
        <w:lastRenderedPageBreak/>
        <w:t>Section II: The Policy Framework</w:t>
      </w:r>
    </w:p>
    <w:p w14:paraId="685ACAD2" w14:textId="77777777" w:rsidR="007E16BE" w:rsidRDefault="000A5A0A">
      <w:pPr>
        <w:spacing w:before="60" w:after="120"/>
      </w:pPr>
      <w:r>
        <w:rPr>
          <w:color w:val="222222"/>
        </w:rPr>
        <w:t>The primary dysfunction of the American health insurance market is not the existence of market mechanisms per se, but rather the degree to which those mechanisms have been constrained, cartelized, and distorted by decades of fragmented regulation. The result is a system that imposes government-level administrative complexity while simultaneously failing to deliver the price discipline, consumer choice, and competitive efficiency that genuine markets generate. The framework presented in this platform addresses this structural problem directly.</w:t>
      </w:r>
    </w:p>
    <w:p w14:paraId="7E23D099" w14:textId="77777777" w:rsidR="007E16BE" w:rsidRDefault="007E16BE">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16BE" w14:paraId="75FD863C" w14:textId="77777777">
        <w:tc>
          <w:tcPr>
            <w:tcW w:w="9360" w:type="dxa"/>
            <w:tcBorders>
              <w:top w:val="single" w:sz="1" w:space="0" w:color="CCCCCC"/>
              <w:left w:val="single" w:sz="1" w:space="0" w:color="CCCCCC"/>
              <w:bottom w:val="single" w:sz="1" w:space="0" w:color="CCCCCC"/>
              <w:right w:val="single" w:sz="1" w:space="0" w:color="CCCCCC"/>
            </w:tcBorders>
            <w:shd w:val="clear" w:color="auto" w:fill="EEF3FA"/>
            <w:tcMar>
              <w:top w:w="160" w:type="dxa"/>
              <w:left w:w="280" w:type="dxa"/>
              <w:bottom w:w="160" w:type="dxa"/>
              <w:right w:w="280" w:type="dxa"/>
            </w:tcMar>
          </w:tcPr>
          <w:p w14:paraId="3F067684" w14:textId="77777777" w:rsidR="007E16BE" w:rsidRDefault="000A5A0A">
            <w:r>
              <w:rPr>
                <w:i/>
                <w:iCs/>
                <w:color w:val="1F3864"/>
              </w:rPr>
              <w:t>The central diagnosis is straightforward: the American health insurance market is not, in any meaningful sense, a functioning competitive market. Geographic monopolies, employer-tied coverage structures, opaque pricing systems, and the absence of a uniform national standard have produced a system that fails consumers while protecting incumbents. The objective of this platform is to dismantle those structural barriers and replace them with a framework in which genuine competition, enforceable consumer protections, and targeted public intervention operate in concert.</w:t>
            </w:r>
          </w:p>
        </w:tc>
      </w:tr>
    </w:tbl>
    <w:p w14:paraId="1A13954C" w14:textId="77777777" w:rsidR="007E16BE" w:rsidRDefault="007E16BE">
      <w:pPr>
        <w:spacing w:after="80"/>
      </w:pPr>
    </w:p>
    <w:p w14:paraId="7C5354DB" w14:textId="77777777" w:rsidR="007E16BE" w:rsidRDefault="000A5A0A">
      <w:pPr>
        <w:spacing w:before="60" w:after="120"/>
      </w:pPr>
      <w:r>
        <w:rPr>
          <w:color w:val="222222"/>
        </w:rPr>
        <w:t>The framework rests on three interlocking principles. Each is necessary; none is independently sufficient.</w:t>
      </w:r>
    </w:p>
    <w:p w14:paraId="23EB4401" w14:textId="77777777" w:rsidR="007E16BE" w:rsidRDefault="007E16BE">
      <w:pPr>
        <w:spacing w:after="80"/>
      </w:pPr>
    </w:p>
    <w:p w14:paraId="139CAA2A" w14:textId="77777777" w:rsidR="007E16BE" w:rsidRDefault="000A5A0A">
      <w:pPr>
        <w:pStyle w:val="Heading2"/>
      </w:pPr>
      <w:r>
        <w:t>Principle I: Genuine Market Competition</w:t>
      </w:r>
    </w:p>
    <w:p w14:paraId="7C38D1E4" w14:textId="77777777" w:rsidR="007E16BE" w:rsidRDefault="000A5A0A">
      <w:pPr>
        <w:spacing w:before="60" w:after="120"/>
      </w:pPr>
      <w:r>
        <w:rPr>
          <w:color w:val="222222"/>
        </w:rPr>
        <w:t>The elimination of geographic restrictions on insurance market participation is a prerequisite for competitive pricing. Where insurers are insulated from interstate competition by regulatory structure, market concentration produces premium inflation without corresponding quality improvement. Opening the national market to interstate competition, subject to a uniform federal coverage floor, creates the conditions under which price and quality, rather than geographic incumbency, determine market outcomes.</w:t>
      </w:r>
    </w:p>
    <w:p w14:paraId="2AD9005B" w14:textId="77777777" w:rsidR="007E16BE" w:rsidRDefault="000A5A0A">
      <w:pPr>
        <w:pStyle w:val="Heading2"/>
      </w:pPr>
      <w:r>
        <w:t>Principle II: A Uniform Federal Coverage Floor</w:t>
      </w:r>
    </w:p>
    <w:p w14:paraId="61EF6585" w14:textId="266E193F" w:rsidR="007E16BE" w:rsidRDefault="000A5A0A">
      <w:pPr>
        <w:spacing w:before="60" w:after="120"/>
      </w:pPr>
      <w:r>
        <w:rPr>
          <w:color w:val="222222"/>
        </w:rPr>
        <w:t xml:space="preserve">Interstate competition produces consumer benefit only when it occurs above a defined minimum standard. Without a coverage floor, competitive pressure operates on coverage quality as readily as on price, resulting in a race to produce the least expensive </w:t>
      </w:r>
      <w:r w:rsidR="007604AC">
        <w:rPr>
          <w:color w:val="222222"/>
        </w:rPr>
        <w:t>minimally functional</w:t>
      </w:r>
      <w:r>
        <w:rPr>
          <w:color w:val="222222"/>
        </w:rPr>
        <w:t xml:space="preserve"> product. A uniform national floor establishes the baseline below which no plan may operate, ensuring that market competition improves consumer outcomes rather than degrading them. A single national standard also reduces compliance complexity for insurers operating across multiple states, lowering barriers to market entry and thereby intensifying competition.</w:t>
      </w:r>
    </w:p>
    <w:p w14:paraId="38167D94" w14:textId="77777777" w:rsidR="007E16BE" w:rsidRDefault="000A5A0A">
      <w:pPr>
        <w:pStyle w:val="Heading2"/>
      </w:pPr>
      <w:r>
        <w:t>Principle III: A Targeted Federal Backstop for Pre-Existing Conditions</w:t>
      </w:r>
    </w:p>
    <w:p w14:paraId="51DC5D92" w14:textId="77777777" w:rsidR="007E16BE" w:rsidRDefault="000A5A0A">
      <w:pPr>
        <w:spacing w:before="60" w:after="120"/>
      </w:pPr>
      <w:r>
        <w:rPr>
          <w:color w:val="222222"/>
        </w:rPr>
        <w:t xml:space="preserve">Free market mechanisms are effective tools for allocating most goods and services; they are not universally appropriate. In the specific context of insurance coverage for pre-existing medical conditions, market pricing produces outcomes that are structurally inequitable: individuals with documented health histories face premiums that are prohibitive or coverage that is inadequate, not as a consequence of choices they have made but as a direct result of conditions they could not have prevented. A precisely scoped federal backstop for this specific class of conditions resolves the market failure without displacing market mechanisms elsewhere. It is neither a public option nor </w:t>
      </w:r>
      <w:r>
        <w:rPr>
          <w:color w:val="222222"/>
        </w:rPr>
        <w:lastRenderedPageBreak/>
        <w:t>a single-payer system; it is a targeted intervention calibrated to the point at which market pricing is demonstrably inadequate.</w:t>
      </w:r>
    </w:p>
    <w:p w14:paraId="0DFE9CD5" w14:textId="77777777" w:rsidR="007E16BE" w:rsidRDefault="007E16BE">
      <w:pPr>
        <w:spacing w:after="80"/>
      </w:pPr>
    </w:p>
    <w:p w14:paraId="7BD35557" w14:textId="77777777" w:rsidR="007E16BE" w:rsidRDefault="000A5A0A">
      <w:pPr>
        <w:spacing w:before="60" w:after="120"/>
      </w:pPr>
      <w:r>
        <w:rPr>
          <w:color w:val="222222"/>
        </w:rPr>
        <w:t>These three principles are mutually dependent. Competition without a coverage floor produces a race to the bottom. A coverage floor without competition protects existing monopolies. A backstop for pre-existing conditions without the first two elements offers limited benefit in a market that remains uncompetitive and structurally deficient. The three elements function as a coherent system and must be implemented as such.</w:t>
      </w:r>
    </w:p>
    <w:p w14:paraId="757DF31F" w14:textId="77777777" w:rsidR="007E16BE" w:rsidRDefault="000A5A0A">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16BE" w14:paraId="1805A658" w14:textId="77777777">
        <w:tc>
          <w:tcPr>
            <w:tcW w:w="9360" w:type="dxa"/>
            <w:tcBorders>
              <w:top w:val="single" w:sz="1" w:space="0" w:color="CCCCCC"/>
              <w:left w:val="none" w:sz="0" w:space="0" w:color="FFFFFF"/>
              <w:bottom w:val="single" w:sz="1" w:space="0" w:color="CCCCCC"/>
              <w:right w:val="none" w:sz="0" w:space="0" w:color="FFFFFF"/>
            </w:tcBorders>
            <w:shd w:val="clear" w:color="auto" w:fill="1F3864"/>
            <w:tcMar>
              <w:top w:w="160" w:type="dxa"/>
              <w:left w:w="220" w:type="dxa"/>
              <w:bottom w:w="160" w:type="dxa"/>
              <w:right w:w="220" w:type="dxa"/>
            </w:tcMar>
          </w:tcPr>
          <w:p w14:paraId="7BE4EA83" w14:textId="77777777" w:rsidR="007E16BE" w:rsidRDefault="000A5A0A">
            <w:r>
              <w:rPr>
                <w:b/>
                <w:bCs/>
                <w:color w:val="AEC6E8"/>
              </w:rPr>
              <w:lastRenderedPageBreak/>
              <w:t xml:space="preserve">SECTION </w:t>
            </w:r>
            <w:proofErr w:type="gramStart"/>
            <w:r>
              <w:rPr>
                <w:b/>
                <w:bCs/>
                <w:color w:val="AEC6E8"/>
              </w:rPr>
              <w:t xml:space="preserve">1  </w:t>
            </w:r>
            <w:r>
              <w:rPr>
                <w:b/>
                <w:bCs/>
                <w:color w:val="FFFFFF"/>
                <w:sz w:val="26"/>
                <w:szCs w:val="26"/>
              </w:rPr>
              <w:t>OPENING</w:t>
            </w:r>
            <w:proofErr w:type="gramEnd"/>
            <w:r>
              <w:rPr>
                <w:b/>
                <w:bCs/>
                <w:color w:val="FFFFFF"/>
                <w:sz w:val="26"/>
                <w:szCs w:val="26"/>
              </w:rPr>
              <w:t xml:space="preserve"> THE MARKET: FIVE STRUCTURAL REFORMS</w:t>
            </w:r>
          </w:p>
        </w:tc>
      </w:tr>
    </w:tbl>
    <w:p w14:paraId="2BCB3019" w14:textId="77777777" w:rsidR="007E16BE" w:rsidRDefault="007E16BE">
      <w:pPr>
        <w:spacing w:after="80"/>
      </w:pPr>
    </w:p>
    <w:p w14:paraId="2D00F66A" w14:textId="77777777" w:rsidR="007E16BE" w:rsidRDefault="000A5A0A">
      <w:pPr>
        <w:spacing w:before="60" w:after="120"/>
      </w:pPr>
      <w:r>
        <w:rPr>
          <w:color w:val="222222"/>
        </w:rPr>
        <w:t>The five proposals in this section require no new government expenditure. Each addresses a specific structural barrier that prevents effective market competition in the health insurance sector. Each is supported by existing empirical research and, in several cases, by demonstrable real-world precedent.</w:t>
      </w:r>
    </w:p>
    <w:p w14:paraId="18FA175A" w14:textId="77777777" w:rsidR="007E16BE" w:rsidRDefault="007E16BE">
      <w:pPr>
        <w:spacing w:after="80"/>
      </w:pPr>
    </w:p>
    <w:p w14:paraId="4D5E9F2D" w14:textId="77777777" w:rsidR="007E16BE" w:rsidRDefault="000A5A0A">
      <w:pPr>
        <w:pStyle w:val="Heading2"/>
      </w:pPr>
      <w:r>
        <w:t>Reform 1: Interstate Insurance Market Competition</w:t>
      </w:r>
    </w:p>
    <w:p w14:paraId="420D6620" w14:textId="77777777" w:rsidR="007E16BE" w:rsidRDefault="000A5A0A">
      <w:pPr>
        <w:pStyle w:val="Heading3"/>
      </w:pPr>
      <w:r>
        <w:t>The Problem</w:t>
      </w:r>
    </w:p>
    <w:p w14:paraId="1713BF3B" w14:textId="77777777" w:rsidR="007E16BE" w:rsidRDefault="000A5A0A">
      <w:pPr>
        <w:spacing w:before="60" w:after="120"/>
      </w:pPr>
      <w:r>
        <w:rPr>
          <w:color w:val="222222"/>
        </w:rPr>
        <w:t>Health insurance markets in the United States are organized on a state-by-state basis, with insurers largely confined to operating within individual state regulatory jurisdictions. The consequence in practice is significant market concentration: in Georgia's individual insurance market, a small number of carriers dominate not because of superior products or pricing but because the regulatory structure effectively excludes competitive entry. In Rockdale County, individual market enrollees frequently encounter two or three plan options. A genuinely competitive national market would produce substantially more options, with corresponding downward pressure on premiums and upward pressure on product quality.</w:t>
      </w:r>
    </w:p>
    <w:p w14:paraId="6B9BF999" w14:textId="77777777" w:rsidR="007E16BE" w:rsidRDefault="000A5A0A">
      <w:pPr>
        <w:pStyle w:val="Heading3"/>
      </w:pPr>
      <w:r>
        <w:t>The Proposal</w:t>
      </w:r>
    </w:p>
    <w:p w14:paraId="59C34124" w14:textId="77777777" w:rsidR="007E16BE" w:rsidRDefault="000A5A0A">
      <w:pPr>
        <w:spacing w:before="60" w:after="120"/>
      </w:pPr>
      <w:r>
        <w:rPr>
          <w:color w:val="222222"/>
        </w:rPr>
        <w:t>Federal legislation authorizing any insurer licensed in any state to offer plans to residents of any other state, subject to the following conditions:</w:t>
      </w:r>
    </w:p>
    <w:p w14:paraId="32A6E4C3" w14:textId="77777777" w:rsidR="007E16BE" w:rsidRDefault="000A5A0A">
      <w:pPr>
        <w:numPr>
          <w:ilvl w:val="0"/>
          <w:numId w:val="2"/>
        </w:numPr>
        <w:spacing w:before="50" w:after="60"/>
      </w:pPr>
      <w:r>
        <w:rPr>
          <w:color w:val="222222"/>
        </w:rPr>
        <w:t>Compliance with the federal minimum coverage floor established in Section 2 of this platform</w:t>
      </w:r>
    </w:p>
    <w:p w14:paraId="47A2C8C8" w14:textId="77777777" w:rsidR="007E16BE" w:rsidRDefault="000A5A0A">
      <w:pPr>
        <w:numPr>
          <w:ilvl w:val="0"/>
          <w:numId w:val="2"/>
        </w:numPr>
        <w:spacing w:before="50" w:after="60"/>
      </w:pPr>
      <w:r>
        <w:rPr>
          <w:color w:val="222222"/>
        </w:rPr>
        <w:t>Adherence to the consumer protection and solvency regulations of the state in which the enrollee resides, ensuring the insurer's capacity to satisfy claims obligations</w:t>
      </w:r>
    </w:p>
    <w:p w14:paraId="4AFD867C" w14:textId="77777777" w:rsidR="007E16BE" w:rsidRDefault="000A5A0A">
      <w:pPr>
        <w:numPr>
          <w:ilvl w:val="0"/>
          <w:numId w:val="2"/>
        </w:numPr>
        <w:spacing w:before="50" w:after="60"/>
      </w:pPr>
      <w:r>
        <w:rPr>
          <w:color w:val="222222"/>
        </w:rPr>
        <w:t>Standard antitrust enforcement provisions to prevent dominant carriers from using interstate market access as a mechanism for further consolidation rather than genuine competition</w:t>
      </w:r>
    </w:p>
    <w:p w14:paraId="7B1D171D" w14:textId="77777777" w:rsidR="007E16BE" w:rsidRDefault="007E16BE">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16BE" w14:paraId="4F32F899" w14:textId="77777777">
        <w:tc>
          <w:tcPr>
            <w:tcW w:w="9360" w:type="dxa"/>
            <w:tcBorders>
              <w:top w:val="single" w:sz="1" w:space="0" w:color="CCCCCC"/>
              <w:left w:val="single" w:sz="1" w:space="0" w:color="CCCCCC"/>
              <w:bottom w:val="single" w:sz="1" w:space="0" w:color="CCCCCC"/>
              <w:right w:val="single" w:sz="1" w:space="0" w:color="CCCCCC"/>
            </w:tcBorders>
            <w:shd w:val="clear" w:color="auto" w:fill="EEF3FA"/>
            <w:tcMar>
              <w:top w:w="160" w:type="dxa"/>
              <w:left w:w="280" w:type="dxa"/>
              <w:bottom w:w="160" w:type="dxa"/>
              <w:right w:w="280" w:type="dxa"/>
            </w:tcMar>
          </w:tcPr>
          <w:p w14:paraId="260CAC19" w14:textId="77777777" w:rsidR="007E16BE" w:rsidRDefault="000A5A0A">
            <w:r>
              <w:rPr>
                <w:i/>
                <w:iCs/>
                <w:color w:val="1F3864"/>
              </w:rPr>
              <w:t>Precedent for this regulatory structure exists in adjacent financial product markets. Property and casualty insurance, life insurance, and banking services operate across state lines under federal regulatory frameworks with state-level consumer protection overlays. The administrative and legal infrastructure for this model is well-established; it has not been applied to health insurance.</w:t>
            </w:r>
          </w:p>
        </w:tc>
      </w:tr>
    </w:tbl>
    <w:p w14:paraId="7177E44A" w14:textId="77777777" w:rsidR="007E16BE" w:rsidRDefault="007E16BE">
      <w:pPr>
        <w:spacing w:after="80"/>
      </w:pPr>
    </w:p>
    <w:p w14:paraId="1F7DDB81" w14:textId="77777777" w:rsidR="007E16BE" w:rsidRDefault="000A5A0A">
      <w:pPr>
        <w:pStyle w:val="Heading2"/>
      </w:pPr>
      <w:r>
        <w:t>Reform 2: Health Savings Account Modernization</w:t>
      </w:r>
    </w:p>
    <w:p w14:paraId="3A5A97A4" w14:textId="77777777" w:rsidR="007E16BE" w:rsidRDefault="000A5A0A">
      <w:pPr>
        <w:pStyle w:val="Heading3"/>
      </w:pPr>
      <w:r>
        <w:t>The Problem</w:t>
      </w:r>
    </w:p>
    <w:p w14:paraId="407835C3" w14:textId="77777777" w:rsidR="007E16BE" w:rsidRDefault="000A5A0A">
      <w:pPr>
        <w:spacing w:before="60" w:after="120"/>
      </w:pPr>
      <w:r>
        <w:rPr>
          <w:color w:val="222222"/>
        </w:rPr>
        <w:t xml:space="preserve">Health Savings Accounts represent one of the more effective tools available for introducing cost-conscious consumer behavior into healthcare decision-making, yet current statutory constraints significantly limit their utility. Eligibility is conditioned upon enrollment in a high-deductible health plan, a requirement that excludes a substantial portion of the insured population. Contribution limits of $4,150 for individuals and $8,300 for families in 2024 are insufficient to constitute meaningful </w:t>
      </w:r>
      <w:r>
        <w:rPr>
          <w:color w:val="222222"/>
        </w:rPr>
        <w:lastRenderedPageBreak/>
        <w:t>financial protection against the costs of serious illness, which can reach multiples of these amounts within a single plan year.</w:t>
      </w:r>
    </w:p>
    <w:p w14:paraId="5EB342BE" w14:textId="77777777" w:rsidR="007E16BE" w:rsidRDefault="000A5A0A">
      <w:pPr>
        <w:spacing w:before="60" w:after="120"/>
      </w:pPr>
      <w:r>
        <w:rPr>
          <w:color w:val="222222"/>
        </w:rPr>
        <w:t>The more fundamental issue is economic: cost-conscious consumers are the mechanism through which competitive markets generate price discipline in healthcare. When patients face the full marginal cost of routine care through their own accumulated savings, they compare prices, evaluate options, and make economically rational decisions. This consumer behavior creates incentives for providers to compete on both cost and quality. A statutory framework that limits HSA participation and contribution undermines the market mechanism it purports to support.</w:t>
      </w:r>
    </w:p>
    <w:p w14:paraId="1E14691D" w14:textId="77777777" w:rsidR="007E16BE" w:rsidRDefault="000A5A0A">
      <w:pPr>
        <w:pStyle w:val="Heading3"/>
      </w:pPr>
      <w:r>
        <w:t>The Proposal</w:t>
      </w:r>
    </w:p>
    <w:p w14:paraId="10113B34" w14:textId="77777777" w:rsidR="007E16BE" w:rsidRDefault="000A5A0A">
      <w:pPr>
        <w:numPr>
          <w:ilvl w:val="0"/>
          <w:numId w:val="2"/>
        </w:numPr>
        <w:spacing w:before="50" w:after="60"/>
      </w:pPr>
      <w:r>
        <w:rPr>
          <w:color w:val="222222"/>
        </w:rPr>
        <w:t>Removal of the high-deductible health plan enrollment requirement for HSA eligibility, permitting any insured individual to open and fund an account regardless of plan type</w:t>
      </w:r>
    </w:p>
    <w:p w14:paraId="0019002D" w14:textId="77777777" w:rsidR="007E16BE" w:rsidRDefault="000A5A0A">
      <w:pPr>
        <w:numPr>
          <w:ilvl w:val="0"/>
          <w:numId w:val="2"/>
        </w:numPr>
        <w:spacing w:before="50" w:after="60"/>
      </w:pPr>
      <w:r>
        <w:rPr>
          <w:color w:val="222222"/>
        </w:rPr>
        <w:t>Expansion of annual contribution limits to $12,000 for individuals and $24,000 for families, with prospective indexing to inflation</w:t>
      </w:r>
    </w:p>
    <w:p w14:paraId="5A28805C" w14:textId="77777777" w:rsidR="007E16BE" w:rsidRDefault="000A5A0A">
      <w:pPr>
        <w:numPr>
          <w:ilvl w:val="0"/>
          <w:numId w:val="2"/>
        </w:numPr>
        <w:spacing w:before="50" w:after="60"/>
      </w:pPr>
      <w:r>
        <w:rPr>
          <w:color w:val="222222"/>
        </w:rPr>
        <w:t>Conversion to permanent rollover treatment, eliminating the annual use-or-lose pressure that discourages accumulation of meaningful healthcare reserves</w:t>
      </w:r>
    </w:p>
    <w:p w14:paraId="5ED1243C" w14:textId="77777777" w:rsidR="007E16BE" w:rsidRDefault="000A5A0A">
      <w:pPr>
        <w:numPr>
          <w:ilvl w:val="0"/>
          <w:numId w:val="2"/>
        </w:numPr>
        <w:spacing w:before="50" w:after="60"/>
      </w:pPr>
      <w:r>
        <w:rPr>
          <w:color w:val="222222"/>
        </w:rPr>
        <w:t>Authorization of HSA funds for premium expenditures, extending the tool's utility to self-employed individuals, independent contractors, and gig economy workers for whom premium costs represent the primary healthcare financial burden</w:t>
      </w:r>
    </w:p>
    <w:p w14:paraId="1867FEF8" w14:textId="77777777" w:rsidR="007E16BE" w:rsidRDefault="000A5A0A">
      <w:pPr>
        <w:numPr>
          <w:ilvl w:val="0"/>
          <w:numId w:val="2"/>
        </w:numPr>
        <w:spacing w:before="50" w:after="60"/>
      </w:pPr>
      <w:r>
        <w:rPr>
          <w:color w:val="222222"/>
        </w:rPr>
        <w:t xml:space="preserve">Definitive IRS clarification that </w:t>
      </w:r>
      <w:proofErr w:type="gramStart"/>
      <w:r>
        <w:rPr>
          <w:color w:val="222222"/>
        </w:rPr>
        <w:t>Direct</w:t>
      </w:r>
      <w:proofErr w:type="gramEnd"/>
      <w:r>
        <w:rPr>
          <w:color w:val="222222"/>
        </w:rPr>
        <w:t xml:space="preserve"> Primary Care membership fees constitute qualifying HSA expenditures, resolving regulatory ambiguity that currently suppresses adoption of this care delivery model</w:t>
      </w:r>
    </w:p>
    <w:p w14:paraId="68AD3C85" w14:textId="77777777" w:rsidR="007E16BE" w:rsidRDefault="007E16BE">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7E16BE" w14:paraId="58062303" w14:textId="77777777">
        <w:tc>
          <w:tcPr>
            <w:tcW w:w="4680" w:type="dxa"/>
            <w:tcBorders>
              <w:top w:val="single" w:sz="1" w:space="0" w:color="CCCCCC"/>
              <w:left w:val="single" w:sz="1" w:space="0" w:color="CCCCCC"/>
              <w:bottom w:val="single" w:sz="1" w:space="0" w:color="CCCCCC"/>
              <w:right w:val="single" w:sz="1" w:space="0" w:color="CCCCCC"/>
            </w:tcBorders>
            <w:shd w:val="clear" w:color="auto" w:fill="1F3864"/>
            <w:tcMar>
              <w:top w:w="120" w:type="dxa"/>
              <w:left w:w="180" w:type="dxa"/>
              <w:bottom w:w="120" w:type="dxa"/>
              <w:right w:w="180" w:type="dxa"/>
            </w:tcMar>
            <w:vAlign w:val="center"/>
          </w:tcPr>
          <w:p w14:paraId="58F79EA5" w14:textId="77777777" w:rsidR="007E16BE" w:rsidRDefault="000A5A0A">
            <w:r>
              <w:rPr>
                <w:b/>
                <w:bCs/>
                <w:color w:val="FFFFFF"/>
                <w:sz w:val="24"/>
                <w:szCs w:val="24"/>
              </w:rPr>
              <w:t>$4,150</w:t>
            </w:r>
          </w:p>
          <w:p w14:paraId="2E8E0219" w14:textId="77777777" w:rsidR="007E16BE" w:rsidRDefault="000A5A0A">
            <w:r>
              <w:rPr>
                <w:color w:val="555555"/>
                <w:sz w:val="18"/>
                <w:szCs w:val="18"/>
              </w:rPr>
              <w:t>Current individual HSA contribution limit (2024)</w:t>
            </w:r>
          </w:p>
        </w:tc>
        <w:tc>
          <w:tcPr>
            <w:tcW w:w="4680" w:type="dxa"/>
            <w:tcBorders>
              <w:top w:val="single" w:sz="1" w:space="0" w:color="CCCCCC"/>
              <w:left w:val="single" w:sz="1" w:space="0" w:color="CCCCCC"/>
              <w:bottom w:val="single" w:sz="1" w:space="0" w:color="CCCCCC"/>
              <w:right w:val="single" w:sz="1" w:space="0" w:color="CCCCCC"/>
            </w:tcBorders>
            <w:shd w:val="clear" w:color="auto" w:fill="EEF3FA"/>
            <w:tcMar>
              <w:top w:w="120" w:type="dxa"/>
              <w:left w:w="180" w:type="dxa"/>
              <w:bottom w:w="120" w:type="dxa"/>
              <w:right w:w="180" w:type="dxa"/>
            </w:tcMar>
            <w:vAlign w:val="center"/>
          </w:tcPr>
          <w:p w14:paraId="18F350FA" w14:textId="77777777" w:rsidR="007E16BE" w:rsidRDefault="000A5A0A">
            <w:r>
              <w:rPr>
                <w:b/>
                <w:bCs/>
                <w:color w:val="C00000"/>
                <w:sz w:val="24"/>
                <w:szCs w:val="24"/>
              </w:rPr>
              <w:t>$12,000</w:t>
            </w:r>
          </w:p>
          <w:p w14:paraId="49763CC5" w14:textId="77777777" w:rsidR="007E16BE" w:rsidRDefault="000A5A0A">
            <w:r>
              <w:rPr>
                <w:color w:val="555555"/>
                <w:sz w:val="18"/>
                <w:szCs w:val="18"/>
              </w:rPr>
              <w:t>Proposed individual HSA limit under this platform</w:t>
            </w:r>
          </w:p>
        </w:tc>
      </w:tr>
    </w:tbl>
    <w:p w14:paraId="7E7A14EF" w14:textId="77777777" w:rsidR="007E16BE" w:rsidRDefault="007E16BE">
      <w:pPr>
        <w:spacing w:after="80"/>
      </w:pPr>
    </w:p>
    <w:p w14:paraId="2C8215C7" w14:textId="77777777" w:rsidR="007E16BE" w:rsidRDefault="000A5A0A">
      <w:pPr>
        <w:spacing w:before="30" w:after="60"/>
      </w:pPr>
      <w:r>
        <w:rPr>
          <w:i/>
          <w:iCs/>
          <w:color w:val="777777"/>
          <w:sz w:val="17"/>
          <w:szCs w:val="17"/>
        </w:rPr>
        <w:t>Source: IRS Publication 969, Health Savings Accounts and Other Tax-Favored Health Plans, 2024</w:t>
      </w:r>
    </w:p>
    <w:p w14:paraId="158A3E00" w14:textId="77777777" w:rsidR="007E16BE" w:rsidRDefault="007E16BE">
      <w:pPr>
        <w:spacing w:after="80"/>
      </w:pPr>
    </w:p>
    <w:p w14:paraId="73793D25" w14:textId="77777777" w:rsidR="007E16BE" w:rsidRDefault="000A5A0A">
      <w:pPr>
        <w:pStyle w:val="Heading2"/>
      </w:pPr>
      <w:r>
        <w:t>Reform 3: Association Health Plans</w:t>
      </w:r>
    </w:p>
    <w:p w14:paraId="0D2BA8A9" w14:textId="77777777" w:rsidR="007E16BE" w:rsidRDefault="000A5A0A">
      <w:pPr>
        <w:pStyle w:val="Heading3"/>
      </w:pPr>
      <w:r>
        <w:t>The Problem</w:t>
      </w:r>
    </w:p>
    <w:p w14:paraId="5EF20461" w14:textId="77777777" w:rsidR="007E16BE" w:rsidRDefault="000A5A0A">
      <w:pPr>
        <w:spacing w:before="60" w:after="120"/>
      </w:pPr>
      <w:r>
        <w:rPr>
          <w:color w:val="222222"/>
        </w:rPr>
        <w:t>The ability to negotiate insurance terms from a position of collective purchasing power is among the most significant structural advantages available to large employers. A hospital system or major corporation with thousands of employees secures group rates, administrative efficiencies, and plan design flexibility that are categorically unavailable to the small business owner, independent contractor, or self-employed professional purchasing coverage in the individual market. This disparity is not a product of market dynamics; it is a consequence of regulatory architecture that permits large employers to self-insure and pool risk while excluding small employers and individuals from comparable arrangements.</w:t>
      </w:r>
    </w:p>
    <w:p w14:paraId="059EE4CB" w14:textId="066132A2" w:rsidR="007E16BE" w:rsidRDefault="000A5A0A">
      <w:pPr>
        <w:spacing w:before="60" w:after="120"/>
      </w:pPr>
      <w:r>
        <w:rPr>
          <w:color w:val="222222"/>
        </w:rPr>
        <w:t>The demographic composition of GA-13 makes this structural disadvantage particularly consequential. One in five district residents was born outside the United States, and a significant proportion of the workforce is engaged in self-employment, independent contracting, or employment with small businesses</w:t>
      </w:r>
      <w:r w:rsidR="00DE1261">
        <w:rPr>
          <w:color w:val="222222"/>
        </w:rPr>
        <w:t xml:space="preserve">, </w:t>
      </w:r>
      <w:r>
        <w:rPr>
          <w:color w:val="222222"/>
        </w:rPr>
        <w:t>precisely the population that bears the highest individual market premium burden with the fewest available options.</w:t>
      </w:r>
    </w:p>
    <w:p w14:paraId="3BBBF445" w14:textId="77777777" w:rsidR="007E16BE" w:rsidRDefault="000A5A0A">
      <w:pPr>
        <w:pStyle w:val="Heading3"/>
      </w:pPr>
      <w:r>
        <w:t>The Proposal</w:t>
      </w:r>
    </w:p>
    <w:p w14:paraId="3496E192" w14:textId="77777777" w:rsidR="007E16BE" w:rsidRDefault="000A5A0A">
      <w:pPr>
        <w:spacing w:before="60" w:after="120"/>
      </w:pPr>
      <w:r>
        <w:rPr>
          <w:color w:val="222222"/>
        </w:rPr>
        <w:lastRenderedPageBreak/>
        <w:t>Federal authorization for small businesses, trade and professional associations, independent contractors, gig economy workers, and self-employed individuals to form purchasing pools and obtain group insurance coverage on equivalent terms to large employer plans, subject to the following conditions:</w:t>
      </w:r>
    </w:p>
    <w:p w14:paraId="1B586419" w14:textId="77777777" w:rsidR="007E16BE" w:rsidRDefault="000A5A0A">
      <w:pPr>
        <w:numPr>
          <w:ilvl w:val="0"/>
          <w:numId w:val="2"/>
        </w:numPr>
        <w:spacing w:before="50" w:after="60"/>
      </w:pPr>
      <w:r>
        <w:rPr>
          <w:color w:val="222222"/>
        </w:rPr>
        <w:t>Small business owners in the commercial corridors along US-278 and I-20 east would be eligible to pool employees across businesses and negotiate group premiums at scale</w:t>
      </w:r>
    </w:p>
    <w:p w14:paraId="2904E68E" w14:textId="77777777" w:rsidR="007E16BE" w:rsidRDefault="000A5A0A">
      <w:pPr>
        <w:numPr>
          <w:ilvl w:val="0"/>
          <w:numId w:val="2"/>
        </w:numPr>
        <w:spacing w:before="50" w:after="60"/>
      </w:pPr>
      <w:r>
        <w:rPr>
          <w:color w:val="222222"/>
        </w:rPr>
        <w:t>Independent operators in the logistics and freight transportation sector, which represents a substantial component of GA-13's employment base, would be eligible to form occupational associations for group coverage purposes</w:t>
      </w:r>
    </w:p>
    <w:p w14:paraId="3C0D9666" w14:textId="77777777" w:rsidR="007E16BE" w:rsidRDefault="000A5A0A">
      <w:pPr>
        <w:numPr>
          <w:ilvl w:val="0"/>
          <w:numId w:val="2"/>
        </w:numPr>
        <w:spacing w:before="50" w:after="60"/>
      </w:pPr>
      <w:r>
        <w:rPr>
          <w:color w:val="222222"/>
        </w:rPr>
        <w:t>Faith institutions, trade associations, and professional organizations would be authorized to serve as plan sponsors for association coverage arrangements</w:t>
      </w:r>
    </w:p>
    <w:p w14:paraId="704FA576" w14:textId="77777777" w:rsidR="007E16BE" w:rsidRDefault="000A5A0A">
      <w:pPr>
        <w:numPr>
          <w:ilvl w:val="0"/>
          <w:numId w:val="2"/>
        </w:numPr>
        <w:spacing w:before="50" w:after="60"/>
      </w:pPr>
      <w:r>
        <w:rPr>
          <w:color w:val="222222"/>
        </w:rPr>
        <w:t>Federal guidelines would require that all association plans meet or exceed the uniform coverage floor, ensuring that association structure does not function as a mechanism for circumventing minimum coverage standards</w:t>
      </w:r>
    </w:p>
    <w:p w14:paraId="3A8B9AFA" w14:textId="77777777" w:rsidR="007E16BE" w:rsidRDefault="007E16BE">
      <w:pPr>
        <w:spacing w:after="80"/>
      </w:pPr>
    </w:p>
    <w:p w14:paraId="18C52D15" w14:textId="77777777" w:rsidR="007E16BE" w:rsidRDefault="000A5A0A">
      <w:pPr>
        <w:pStyle w:val="Heading2"/>
      </w:pPr>
      <w:r>
        <w:t>Reform 4: Reference-Based Pricing</w:t>
      </w:r>
    </w:p>
    <w:p w14:paraId="5F5F4450" w14:textId="77777777" w:rsidR="007E16BE" w:rsidRDefault="000A5A0A">
      <w:pPr>
        <w:pStyle w:val="Heading3"/>
      </w:pPr>
      <w:r>
        <w:t>The Problem</w:t>
      </w:r>
    </w:p>
    <w:p w14:paraId="64CC880D" w14:textId="3B27DBE9" w:rsidR="007E16BE" w:rsidRDefault="000A5A0A">
      <w:pPr>
        <w:spacing w:before="60" w:after="120"/>
      </w:pPr>
      <w:r>
        <w:rPr>
          <w:color w:val="222222"/>
        </w:rPr>
        <w:t xml:space="preserve">The negotiated rate structure that governs commercial insurance reimbursement in the United States does not reflect genuine market pricing. Hospital systems establish chargemaster prices at levels that bear no organic relationship to the </w:t>
      </w:r>
      <w:r w:rsidR="006C31CC">
        <w:rPr>
          <w:color w:val="222222"/>
        </w:rPr>
        <w:t>cost-of-service</w:t>
      </w:r>
      <w:r>
        <w:rPr>
          <w:color w:val="222222"/>
        </w:rPr>
        <w:t xml:space="preserve"> delivery</w:t>
      </w:r>
      <w:r w:rsidR="006C31CC">
        <w:rPr>
          <w:color w:val="222222"/>
        </w:rPr>
        <w:t xml:space="preserve">, </w:t>
      </w:r>
      <w:r>
        <w:rPr>
          <w:color w:val="222222"/>
        </w:rPr>
        <w:t>frequently five to ten times actual cost</w:t>
      </w:r>
      <w:r w:rsidR="006C31CC">
        <w:rPr>
          <w:color w:val="222222"/>
        </w:rPr>
        <w:t>,</w:t>
      </w:r>
      <w:r>
        <w:rPr>
          <w:color w:val="222222"/>
        </w:rPr>
        <w:t xml:space="preserve"> and then negotiate percentage discounts with insurers that produce final reimbursement rates still well above cost. This structure obscures the actual price of care from patients, employers, and policymakers, and perpetuates an arrangement in which administrative negotiation, rather than competitive market dynamics, determines the price of medical services.</w:t>
      </w:r>
    </w:p>
    <w:p w14:paraId="158C5682" w14:textId="26262C14" w:rsidR="007E16BE" w:rsidRDefault="000A5A0A">
      <w:pPr>
        <w:spacing w:before="60" w:after="120"/>
      </w:pPr>
      <w:r>
        <w:rPr>
          <w:color w:val="222222"/>
        </w:rPr>
        <w:t>Reference-based pricing replaces negotiated rate opacity with a transparent, market-anchored reimbursement standard. By setting reimbursement at a defined percentage of Medicare rates for equivalent services</w:t>
      </w:r>
      <w:r w:rsidR="006C31CC">
        <w:rPr>
          <w:color w:val="222222"/>
        </w:rPr>
        <w:t>,</w:t>
      </w:r>
      <w:r>
        <w:rPr>
          <w:color w:val="222222"/>
        </w:rPr>
        <w:t xml:space="preserve"> typically in the range of 150 to 200 percent </w:t>
      </w:r>
      <w:r w:rsidR="006C31CC">
        <w:rPr>
          <w:color w:val="222222"/>
        </w:rPr>
        <w:t>r</w:t>
      </w:r>
      <w:r>
        <w:rPr>
          <w:color w:val="222222"/>
        </w:rPr>
        <w:t>eference-based pricing establishes a rational connection between reimbursement and service cost. Employers who have adopted reference-based pricing arrangements consistently report cost reductions of 20 to 40 percent with no measurable deterioration in care quality or access, according to RAND Corporation research published in 2019 and 2022.</w:t>
      </w:r>
    </w:p>
    <w:p w14:paraId="43DF6F66" w14:textId="77777777" w:rsidR="007E16BE" w:rsidRDefault="000A5A0A">
      <w:pPr>
        <w:pStyle w:val="Heading3"/>
      </w:pPr>
      <w:r>
        <w:t>The Proposal</w:t>
      </w:r>
    </w:p>
    <w:p w14:paraId="6DC18267" w14:textId="77777777" w:rsidR="007E16BE" w:rsidRDefault="000A5A0A">
      <w:pPr>
        <w:numPr>
          <w:ilvl w:val="0"/>
          <w:numId w:val="2"/>
        </w:numPr>
        <w:spacing w:before="50" w:after="60"/>
      </w:pPr>
      <w:r>
        <w:rPr>
          <w:color w:val="222222"/>
        </w:rPr>
        <w:t>Federal legislation providing explicit legal protection for reference-based pricing arrangements, removing the litigation exposure that currently discourages employer adoption of this model</w:t>
      </w:r>
    </w:p>
    <w:p w14:paraId="33B4AE44" w14:textId="708DCA6E" w:rsidR="007E16BE" w:rsidRDefault="000A5A0A">
      <w:pPr>
        <w:numPr>
          <w:ilvl w:val="0"/>
          <w:numId w:val="2"/>
        </w:numPr>
        <w:spacing w:before="50" w:after="60"/>
      </w:pPr>
      <w:r>
        <w:rPr>
          <w:color w:val="222222"/>
        </w:rPr>
        <w:t>A requirement that any provider receiving federal program funding</w:t>
      </w:r>
      <w:r w:rsidR="006C31CC">
        <w:rPr>
          <w:color w:val="222222"/>
        </w:rPr>
        <w:t xml:space="preserve">, </w:t>
      </w:r>
      <w:r>
        <w:rPr>
          <w:color w:val="222222"/>
        </w:rPr>
        <w:t>which encompasses virtually all hospital systems in GA-13 through Medicare and Medicaid participation</w:t>
      </w:r>
      <w:r w:rsidR="006C31CC">
        <w:rPr>
          <w:color w:val="222222"/>
        </w:rPr>
        <w:t xml:space="preserve">, </w:t>
      </w:r>
      <w:r>
        <w:rPr>
          <w:color w:val="222222"/>
        </w:rPr>
        <w:t>accept reference-based reimbursement as payment in full for emergency services</w:t>
      </w:r>
    </w:p>
    <w:p w14:paraId="358E427E" w14:textId="77777777" w:rsidR="007E16BE" w:rsidRDefault="000A5A0A">
      <w:pPr>
        <w:numPr>
          <w:ilvl w:val="0"/>
          <w:numId w:val="2"/>
        </w:numPr>
        <w:spacing w:before="50" w:after="60"/>
      </w:pPr>
      <w:r>
        <w:rPr>
          <w:color w:val="222222"/>
        </w:rPr>
        <w:t>Publication of a comprehensive federal reference rate database covering the 500 most frequently performed procedures, providing a publicly accessible pricing standard for employers, insurers, and patients</w:t>
      </w:r>
    </w:p>
    <w:p w14:paraId="2D99A2CF" w14:textId="77777777" w:rsidR="007E16BE" w:rsidRDefault="000A5A0A">
      <w:pPr>
        <w:numPr>
          <w:ilvl w:val="0"/>
          <w:numId w:val="2"/>
        </w:numPr>
        <w:spacing w:before="50" w:after="60"/>
      </w:pPr>
      <w:r>
        <w:rPr>
          <w:color w:val="222222"/>
        </w:rPr>
        <w:t>Transparency requirements mandating that hospitals publish both reference-based and chargemaster rates in accessible, plain-language formats</w:t>
      </w:r>
    </w:p>
    <w:p w14:paraId="7A079A2A" w14:textId="77777777" w:rsidR="007E16BE" w:rsidRDefault="007E16BE">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7E16BE" w14:paraId="4C9DEDE2" w14:textId="77777777">
        <w:tc>
          <w:tcPr>
            <w:tcW w:w="4680" w:type="dxa"/>
            <w:tcBorders>
              <w:top w:val="single" w:sz="1" w:space="0" w:color="CCCCCC"/>
              <w:left w:val="single" w:sz="1" w:space="0" w:color="CCCCCC"/>
              <w:bottom w:val="single" w:sz="1" w:space="0" w:color="CCCCCC"/>
              <w:right w:val="single" w:sz="1" w:space="0" w:color="CCCCCC"/>
            </w:tcBorders>
            <w:shd w:val="clear" w:color="auto" w:fill="1F3864"/>
            <w:tcMar>
              <w:top w:w="120" w:type="dxa"/>
              <w:left w:w="180" w:type="dxa"/>
              <w:bottom w:w="120" w:type="dxa"/>
              <w:right w:w="180" w:type="dxa"/>
            </w:tcMar>
            <w:vAlign w:val="center"/>
          </w:tcPr>
          <w:p w14:paraId="10B23B97" w14:textId="77777777" w:rsidR="007E16BE" w:rsidRDefault="000A5A0A">
            <w:r>
              <w:rPr>
                <w:b/>
                <w:bCs/>
                <w:color w:val="FFFFFF"/>
                <w:sz w:val="24"/>
                <w:szCs w:val="24"/>
              </w:rPr>
              <w:lastRenderedPageBreak/>
              <w:t>20-40%</w:t>
            </w:r>
          </w:p>
          <w:p w14:paraId="20A4CCC6" w14:textId="77777777" w:rsidR="007E16BE" w:rsidRDefault="000A5A0A">
            <w:r>
              <w:rPr>
                <w:color w:val="555555"/>
                <w:sz w:val="18"/>
                <w:szCs w:val="18"/>
              </w:rPr>
              <w:t>Documented cost reduction with reference-based pricing</w:t>
            </w:r>
          </w:p>
        </w:tc>
        <w:tc>
          <w:tcPr>
            <w:tcW w:w="4680" w:type="dxa"/>
            <w:tcBorders>
              <w:top w:val="single" w:sz="1" w:space="0" w:color="CCCCCC"/>
              <w:left w:val="single" w:sz="1" w:space="0" w:color="CCCCCC"/>
              <w:bottom w:val="single" w:sz="1" w:space="0" w:color="CCCCCC"/>
              <w:right w:val="single" w:sz="1" w:space="0" w:color="CCCCCC"/>
            </w:tcBorders>
            <w:shd w:val="clear" w:color="auto" w:fill="EEF3FA"/>
            <w:tcMar>
              <w:top w:w="120" w:type="dxa"/>
              <w:left w:w="180" w:type="dxa"/>
              <w:bottom w:w="120" w:type="dxa"/>
              <w:right w:w="180" w:type="dxa"/>
            </w:tcMar>
            <w:vAlign w:val="center"/>
          </w:tcPr>
          <w:p w14:paraId="6D509541" w14:textId="77777777" w:rsidR="007E16BE" w:rsidRDefault="000A5A0A">
            <w:r>
              <w:rPr>
                <w:b/>
                <w:bCs/>
                <w:color w:val="C00000"/>
                <w:sz w:val="24"/>
                <w:szCs w:val="24"/>
              </w:rPr>
              <w:t>RAND Corporation, 2019 &amp; 2022</w:t>
            </w:r>
          </w:p>
          <w:p w14:paraId="477AC9D6" w14:textId="77777777" w:rsidR="007E16BE" w:rsidRDefault="000A5A0A">
            <w:r>
              <w:rPr>
                <w:color w:val="555555"/>
                <w:sz w:val="18"/>
                <w:szCs w:val="18"/>
              </w:rPr>
              <w:t>Source</w:t>
            </w:r>
          </w:p>
        </w:tc>
      </w:tr>
    </w:tbl>
    <w:p w14:paraId="61BBDA74" w14:textId="77777777" w:rsidR="007E16BE" w:rsidRDefault="007E16BE">
      <w:pPr>
        <w:spacing w:after="80"/>
      </w:pPr>
    </w:p>
    <w:p w14:paraId="7EB88ECB" w14:textId="77777777" w:rsidR="007E16BE" w:rsidRDefault="000A5A0A">
      <w:pPr>
        <w:pStyle w:val="Heading2"/>
      </w:pPr>
      <w:r>
        <w:t>Reform 5: Direct Primary Care</w:t>
      </w:r>
    </w:p>
    <w:p w14:paraId="094B0F37" w14:textId="77777777" w:rsidR="007E16BE" w:rsidRDefault="000A5A0A">
      <w:pPr>
        <w:pStyle w:val="Heading3"/>
      </w:pPr>
      <w:r>
        <w:t>The Problem</w:t>
      </w:r>
    </w:p>
    <w:p w14:paraId="1F936210" w14:textId="72B8C4B7" w:rsidR="007E16BE" w:rsidRDefault="000A5A0A">
      <w:pPr>
        <w:spacing w:before="60" w:after="120"/>
      </w:pPr>
      <w:r>
        <w:rPr>
          <w:color w:val="222222"/>
        </w:rPr>
        <w:t>The administrative burden imposed by insurance-based billing has fundamentally altered the economics and practice structure of primary care medicine. Physicians in traditional fee-for-service practices manage patient panels of 2,000 to 2,500 individuals, with average appointment durations of fifteen minutes and substantial time allocated to billing, documentation, and prior authorization compliance rather than clinical care. The practical consequences</w:t>
      </w:r>
      <w:r w:rsidR="006C31CC">
        <w:rPr>
          <w:color w:val="222222"/>
        </w:rPr>
        <w:t>,</w:t>
      </w:r>
      <w:r>
        <w:rPr>
          <w:color w:val="222222"/>
        </w:rPr>
        <w:t xml:space="preserve"> limited appointment availability, attenuated continuity of care, and reactive rather than preventive clinical relationships</w:t>
      </w:r>
      <w:r w:rsidR="006C31CC">
        <w:rPr>
          <w:color w:val="222222"/>
        </w:rPr>
        <w:t xml:space="preserve">, </w:t>
      </w:r>
      <w:r>
        <w:rPr>
          <w:color w:val="222222"/>
        </w:rPr>
        <w:t>are well-documented.</w:t>
      </w:r>
    </w:p>
    <w:p w14:paraId="7425B250" w14:textId="77777777" w:rsidR="007E16BE" w:rsidRDefault="000A5A0A">
      <w:pPr>
        <w:spacing w:before="60" w:after="120"/>
      </w:pPr>
      <w:r>
        <w:rPr>
          <w:color w:val="222222"/>
        </w:rPr>
        <w:t xml:space="preserve">These conditions are particularly acute in portions of GA-13. In rural Newton County and eastern Rockdale, primary care physician density is insufficient to meet population need. Specialist appointment </w:t>
      </w:r>
      <w:proofErr w:type="gramStart"/>
      <w:r>
        <w:rPr>
          <w:color w:val="222222"/>
        </w:rPr>
        <w:t>wait</w:t>
      </w:r>
      <w:proofErr w:type="gramEnd"/>
      <w:r>
        <w:rPr>
          <w:color w:val="222222"/>
        </w:rPr>
        <w:t xml:space="preserve"> times in these communities regularly extend to multiple months. Emergency department utilization for conditions appropriately managed in primary care settings represents both a quality-of-care concern and a significant cost driver for the healthcare system.</w:t>
      </w:r>
    </w:p>
    <w:p w14:paraId="6536913C" w14:textId="77777777" w:rsidR="007E16BE" w:rsidRDefault="000A5A0A">
      <w:pPr>
        <w:pStyle w:val="Heading3"/>
      </w:pPr>
      <w:r>
        <w:t>The Proposal</w:t>
      </w:r>
    </w:p>
    <w:p w14:paraId="796E9378" w14:textId="6178E936" w:rsidR="007E16BE" w:rsidRDefault="000A5A0A">
      <w:pPr>
        <w:spacing w:before="60" w:after="120"/>
      </w:pPr>
      <w:r>
        <w:rPr>
          <w:color w:val="222222"/>
        </w:rPr>
        <w:t>Direct Primary Care is a practice model in which physicians charge a flat monthly membership fee</w:t>
      </w:r>
      <w:r w:rsidR="00DE1261">
        <w:rPr>
          <w:color w:val="222222"/>
        </w:rPr>
        <w:t>,</w:t>
      </w:r>
      <w:r>
        <w:rPr>
          <w:color w:val="222222"/>
        </w:rPr>
        <w:t xml:space="preserve"> typically $50 to $100</w:t>
      </w:r>
      <w:r w:rsidR="00DE1261">
        <w:rPr>
          <w:color w:val="222222"/>
        </w:rPr>
        <w:t xml:space="preserve">, </w:t>
      </w:r>
      <w:r>
        <w:rPr>
          <w:color w:val="222222"/>
        </w:rPr>
        <w:t>in exchange for unlimited primary care access, with no insurance billing, no prior authorization requirements, and no per-visit charges. A Direct Primary Care physician manages a patient panel of approximately 600 individuals rather than 2,500, enabling appointment availability, longer visit duration, and genuine continuity of care. When paired with a high-deductible catastrophic insurance plan and an expanded HSA, Direct Primary Care provides working families in GA-13 with a primary care relationship and financial protection at a combined cost potentially lower than current insurance premium expenditure.</w:t>
      </w:r>
    </w:p>
    <w:p w14:paraId="221C5948" w14:textId="77777777" w:rsidR="007E16BE" w:rsidRDefault="000A5A0A">
      <w:pPr>
        <w:numPr>
          <w:ilvl w:val="0"/>
          <w:numId w:val="2"/>
        </w:numPr>
        <w:spacing w:before="50" w:after="60"/>
      </w:pPr>
      <w:r>
        <w:rPr>
          <w:color w:val="222222"/>
        </w:rPr>
        <w:t>Definitive IRS clarification establishing Direct Primary Care membership fees as qualifying HSA expenditures, removing the regulatory uncertainty that has limited adoption among the populations that would benefit most</w:t>
      </w:r>
    </w:p>
    <w:p w14:paraId="3499EE35" w14:textId="77777777" w:rsidR="007E16BE" w:rsidRDefault="000A5A0A">
      <w:pPr>
        <w:numPr>
          <w:ilvl w:val="0"/>
          <w:numId w:val="2"/>
        </w:numPr>
        <w:spacing w:before="50" w:after="60"/>
      </w:pPr>
      <w:r>
        <w:rPr>
          <w:color w:val="222222"/>
        </w:rPr>
        <w:t>Exemption of Direct Primary Care practices from state insurance regulatory frameworks that currently classify monthly membership fees as insurance premiums, a classification that imposes inappropriate regulatory burdens on a non-insurance service arrangement</w:t>
      </w:r>
    </w:p>
    <w:p w14:paraId="105432EF" w14:textId="77777777" w:rsidR="007E16BE" w:rsidRDefault="000A5A0A">
      <w:pPr>
        <w:numPr>
          <w:ilvl w:val="0"/>
          <w:numId w:val="2"/>
        </w:numPr>
        <w:spacing w:before="50" w:after="60"/>
      </w:pPr>
      <w:r>
        <w:rPr>
          <w:color w:val="222222"/>
        </w:rPr>
        <w:t>Establishment of a GA-13 Direct Primary Care pilot program through HHS community health grants, targeting Newton County and eastern Rockdale as the communities with the most acute primary care access deficits</w:t>
      </w:r>
    </w:p>
    <w:p w14:paraId="0932BFD6" w14:textId="77777777" w:rsidR="007E16BE" w:rsidRDefault="000A5A0A">
      <w:pPr>
        <w:numPr>
          <w:ilvl w:val="0"/>
          <w:numId w:val="2"/>
        </w:numPr>
        <w:spacing w:before="50" w:after="60"/>
      </w:pPr>
      <w:r>
        <w:rPr>
          <w:color w:val="222222"/>
        </w:rPr>
        <w:t>Creation of a federal tax credit for Direct Primary Care membership fees paid by self-employed individuals, independent contractors, and gig economy workers, extending the financial accessibility of the model to the significant self-employed population in the district's logistics and transportation sector</w:t>
      </w:r>
    </w:p>
    <w:p w14:paraId="7AF63361" w14:textId="77777777" w:rsidR="007E16BE" w:rsidRDefault="007E16BE">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16BE" w14:paraId="658F1AA0" w14:textId="77777777">
        <w:tc>
          <w:tcPr>
            <w:tcW w:w="9360" w:type="dxa"/>
            <w:tcBorders>
              <w:top w:val="single" w:sz="1" w:space="0" w:color="CCCCCC"/>
              <w:left w:val="single" w:sz="1" w:space="0" w:color="CCCCCC"/>
              <w:bottom w:val="single" w:sz="1" w:space="0" w:color="CCCCCC"/>
              <w:right w:val="single" w:sz="1" w:space="0" w:color="CCCCCC"/>
            </w:tcBorders>
            <w:shd w:val="clear" w:color="auto" w:fill="EEF3FA"/>
            <w:tcMar>
              <w:top w:w="160" w:type="dxa"/>
              <w:left w:w="280" w:type="dxa"/>
              <w:bottom w:w="160" w:type="dxa"/>
              <w:right w:w="280" w:type="dxa"/>
            </w:tcMar>
          </w:tcPr>
          <w:p w14:paraId="521E0ABF" w14:textId="77777777" w:rsidR="007E16BE" w:rsidRDefault="000A5A0A">
            <w:r>
              <w:rPr>
                <w:i/>
                <w:iCs/>
                <w:color w:val="1F3864"/>
              </w:rPr>
              <w:t xml:space="preserve">A household covering its primary care needs through a Direct Primary Care membership, combined with a catastrophic insurance plan and Health Savings Account contributions, </w:t>
            </w:r>
            <w:r>
              <w:rPr>
                <w:i/>
                <w:iCs/>
                <w:color w:val="1F3864"/>
              </w:rPr>
              <w:lastRenderedPageBreak/>
              <w:t>may achieve total healthcare expenditure lower than current premium costs while obtaining substantially improved access to ongoing primary care.</w:t>
            </w:r>
          </w:p>
        </w:tc>
      </w:tr>
    </w:tbl>
    <w:p w14:paraId="3DFD52C7" w14:textId="77777777" w:rsidR="007E16BE" w:rsidRDefault="007E16BE">
      <w:pPr>
        <w:spacing w:after="80"/>
      </w:pPr>
    </w:p>
    <w:p w14:paraId="3A5D704A" w14:textId="77777777" w:rsidR="007E16BE" w:rsidRDefault="000A5A0A">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16BE" w14:paraId="5D572419" w14:textId="77777777">
        <w:tc>
          <w:tcPr>
            <w:tcW w:w="9360" w:type="dxa"/>
            <w:tcBorders>
              <w:top w:val="single" w:sz="1" w:space="0" w:color="CCCCCC"/>
              <w:left w:val="none" w:sz="0" w:space="0" w:color="FFFFFF"/>
              <w:bottom w:val="single" w:sz="1" w:space="0" w:color="CCCCCC"/>
              <w:right w:val="none" w:sz="0" w:space="0" w:color="FFFFFF"/>
            </w:tcBorders>
            <w:shd w:val="clear" w:color="auto" w:fill="1F3864"/>
            <w:tcMar>
              <w:top w:w="160" w:type="dxa"/>
              <w:left w:w="220" w:type="dxa"/>
              <w:bottom w:w="160" w:type="dxa"/>
              <w:right w:w="220" w:type="dxa"/>
            </w:tcMar>
          </w:tcPr>
          <w:p w14:paraId="2DA9921D" w14:textId="77777777" w:rsidR="007E16BE" w:rsidRDefault="000A5A0A">
            <w:r>
              <w:rPr>
                <w:b/>
                <w:bCs/>
                <w:color w:val="AEC6E8"/>
              </w:rPr>
              <w:lastRenderedPageBreak/>
              <w:t xml:space="preserve">SECTION </w:t>
            </w:r>
            <w:proofErr w:type="gramStart"/>
            <w:r>
              <w:rPr>
                <w:b/>
                <w:bCs/>
                <w:color w:val="AEC6E8"/>
              </w:rPr>
              <w:t xml:space="preserve">2  </w:t>
            </w:r>
            <w:r>
              <w:rPr>
                <w:b/>
                <w:bCs/>
                <w:color w:val="FFFFFF"/>
                <w:sz w:val="26"/>
                <w:szCs w:val="26"/>
              </w:rPr>
              <w:t>THE</w:t>
            </w:r>
            <w:proofErr w:type="gramEnd"/>
            <w:r>
              <w:rPr>
                <w:b/>
                <w:bCs/>
                <w:color w:val="FFFFFF"/>
                <w:sz w:val="26"/>
                <w:szCs w:val="26"/>
              </w:rPr>
              <w:t xml:space="preserve"> FEDERAL COVERAGE FLOOR</w:t>
            </w:r>
          </w:p>
        </w:tc>
      </w:tr>
    </w:tbl>
    <w:p w14:paraId="7310AA72" w14:textId="77777777" w:rsidR="007E16BE" w:rsidRDefault="007E16BE">
      <w:pPr>
        <w:spacing w:after="80"/>
      </w:pPr>
    </w:p>
    <w:p w14:paraId="6167CFAC" w14:textId="77777777" w:rsidR="007E16BE" w:rsidRDefault="000A5A0A">
      <w:pPr>
        <w:spacing w:before="60" w:after="120"/>
      </w:pPr>
      <w:r>
        <w:rPr>
          <w:color w:val="222222"/>
        </w:rPr>
        <w:t>Competitive market mechanisms produce beneficial outcomes for consumers only when competition operates above an adequately defined minimum standard. Without a uniform coverage floor, interstate market competition creates incentives to offer the least expensive product consistent with technical compliance, rather than the highest-quality product at the most competitive price. The federal coverage floor established by this platform defines the minimum below which no health plan sold in interstate commerce may operate. It replaces the current fragmented patchwork of fifty state regulatory regimes with a single national standard, reducing compliance complexity for insurers, lowering barriers to market entry, and making competition more genuine.</w:t>
      </w:r>
    </w:p>
    <w:p w14:paraId="6696E7DA" w14:textId="77777777" w:rsidR="007E16BE" w:rsidRDefault="007E16BE">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16BE" w14:paraId="0D8F1616" w14:textId="77777777">
        <w:tc>
          <w:tcPr>
            <w:tcW w:w="9360" w:type="dxa"/>
            <w:tcBorders>
              <w:top w:val="single" w:sz="1" w:space="0" w:color="CCCCCC"/>
              <w:left w:val="none" w:sz="0" w:space="0" w:color="FFFFFF"/>
              <w:bottom w:val="single" w:sz="1" w:space="0" w:color="CCCCCC"/>
              <w:right w:val="none" w:sz="0" w:space="0" w:color="FFFFFF"/>
            </w:tcBorders>
            <w:shd w:val="clear" w:color="auto" w:fill="1F3864"/>
            <w:tcMar>
              <w:top w:w="160" w:type="dxa"/>
              <w:left w:w="220" w:type="dxa"/>
              <w:bottom w:w="160" w:type="dxa"/>
              <w:right w:w="220" w:type="dxa"/>
            </w:tcMar>
          </w:tcPr>
          <w:p w14:paraId="46498564" w14:textId="77777777" w:rsidR="007E16BE" w:rsidRDefault="000A5A0A">
            <w:r>
              <w:rPr>
                <w:b/>
                <w:bCs/>
                <w:color w:val="FFFFFF"/>
                <w:sz w:val="26"/>
                <w:szCs w:val="26"/>
              </w:rPr>
              <w:t>WHAT THE FLOOR REQUIRES</w:t>
            </w:r>
          </w:p>
        </w:tc>
      </w:tr>
    </w:tbl>
    <w:p w14:paraId="454F0BC7" w14:textId="77777777" w:rsidR="007E16BE" w:rsidRDefault="007E16BE">
      <w:pPr>
        <w:spacing w:after="80"/>
      </w:pPr>
    </w:p>
    <w:p w14:paraId="0483BD91" w14:textId="77777777" w:rsidR="007E16BE" w:rsidRDefault="000A5A0A">
      <w:pPr>
        <w:pStyle w:val="Heading2"/>
      </w:pPr>
      <w:r>
        <w:t>1.  Essential Health Benefit Categories</w:t>
      </w:r>
    </w:p>
    <w:p w14:paraId="4D0C2935" w14:textId="77777777" w:rsidR="007E16BE" w:rsidRDefault="000A5A0A">
      <w:pPr>
        <w:spacing w:before="60" w:after="120"/>
      </w:pPr>
      <w:r>
        <w:rPr>
          <w:color w:val="222222"/>
        </w:rPr>
        <w:t>All plans offered in interstate commerce must provide coverage for the following categories of essential health benefits. The floor specifies coverage categories rather than individual procedures, preserving competitive flexibility in product design while ensuring that critical categories of care are universally available:</w:t>
      </w:r>
    </w:p>
    <w:p w14:paraId="6695C5AC" w14:textId="77777777" w:rsidR="007E16BE" w:rsidRDefault="000A5A0A">
      <w:pPr>
        <w:numPr>
          <w:ilvl w:val="0"/>
          <w:numId w:val="2"/>
        </w:numPr>
        <w:spacing w:before="50" w:after="60"/>
      </w:pPr>
      <w:r>
        <w:rPr>
          <w:color w:val="222222"/>
        </w:rPr>
        <w:t>Emergency services, with prior authorization prohibited for clinically urgent emergency presentations</w:t>
      </w:r>
    </w:p>
    <w:p w14:paraId="1ACD3526" w14:textId="77777777" w:rsidR="007E16BE" w:rsidRDefault="000A5A0A">
      <w:pPr>
        <w:numPr>
          <w:ilvl w:val="0"/>
          <w:numId w:val="2"/>
        </w:numPr>
        <w:spacing w:before="50" w:after="60"/>
      </w:pPr>
      <w:r>
        <w:rPr>
          <w:color w:val="222222"/>
        </w:rPr>
        <w:t>Hospitalization and inpatient care</w:t>
      </w:r>
    </w:p>
    <w:p w14:paraId="4D7CA83A" w14:textId="77777777" w:rsidR="007E16BE" w:rsidRDefault="000A5A0A">
      <w:pPr>
        <w:numPr>
          <w:ilvl w:val="0"/>
          <w:numId w:val="2"/>
        </w:numPr>
        <w:spacing w:before="50" w:after="60"/>
      </w:pPr>
      <w:r>
        <w:rPr>
          <w:color w:val="222222"/>
        </w:rPr>
        <w:t>Outpatient and ambulatory care services</w:t>
      </w:r>
    </w:p>
    <w:p w14:paraId="424EA677" w14:textId="77777777" w:rsidR="007E16BE" w:rsidRDefault="000A5A0A">
      <w:pPr>
        <w:numPr>
          <w:ilvl w:val="0"/>
          <w:numId w:val="2"/>
        </w:numPr>
        <w:spacing w:before="50" w:after="60"/>
      </w:pPr>
      <w:r>
        <w:rPr>
          <w:color w:val="222222"/>
        </w:rPr>
        <w:t>Maternity and newborn care</w:t>
      </w:r>
    </w:p>
    <w:p w14:paraId="5E550490" w14:textId="77777777" w:rsidR="007E16BE" w:rsidRDefault="000A5A0A">
      <w:pPr>
        <w:numPr>
          <w:ilvl w:val="0"/>
          <w:numId w:val="2"/>
        </w:numPr>
        <w:spacing w:before="50" w:after="60"/>
      </w:pPr>
      <w:r>
        <w:rPr>
          <w:color w:val="222222"/>
        </w:rPr>
        <w:t>Mental health and substance use disorder treatment, at full parity with physical health benefits</w:t>
      </w:r>
    </w:p>
    <w:p w14:paraId="7E9CE046" w14:textId="77777777" w:rsidR="007E16BE" w:rsidRDefault="000A5A0A">
      <w:pPr>
        <w:numPr>
          <w:ilvl w:val="0"/>
          <w:numId w:val="2"/>
        </w:numPr>
        <w:spacing w:before="50" w:after="60"/>
      </w:pPr>
      <w:r>
        <w:rPr>
          <w:color w:val="222222"/>
        </w:rPr>
        <w:t xml:space="preserve">Prescription drugs, with a minimum formulary covering generic equivalents of the 200 </w:t>
      </w:r>
      <w:proofErr w:type="gramStart"/>
      <w:r>
        <w:rPr>
          <w:color w:val="222222"/>
        </w:rPr>
        <w:t>most commonly prescribed</w:t>
      </w:r>
      <w:proofErr w:type="gramEnd"/>
      <w:r>
        <w:rPr>
          <w:color w:val="222222"/>
        </w:rPr>
        <w:t xml:space="preserve"> medications</w:t>
      </w:r>
    </w:p>
    <w:p w14:paraId="6354E712" w14:textId="77777777" w:rsidR="007E16BE" w:rsidRDefault="000A5A0A">
      <w:pPr>
        <w:numPr>
          <w:ilvl w:val="0"/>
          <w:numId w:val="2"/>
        </w:numPr>
        <w:spacing w:before="50" w:after="60"/>
      </w:pPr>
      <w:r>
        <w:rPr>
          <w:color w:val="222222"/>
        </w:rPr>
        <w:t>Rehabilitative and habilitative services</w:t>
      </w:r>
    </w:p>
    <w:p w14:paraId="4B31914E" w14:textId="77777777" w:rsidR="007E16BE" w:rsidRDefault="000A5A0A">
      <w:pPr>
        <w:numPr>
          <w:ilvl w:val="0"/>
          <w:numId w:val="2"/>
        </w:numPr>
        <w:spacing w:before="50" w:after="60"/>
      </w:pPr>
      <w:r>
        <w:rPr>
          <w:color w:val="222222"/>
        </w:rPr>
        <w:t>Laboratory services and diagnostic imaging</w:t>
      </w:r>
    </w:p>
    <w:p w14:paraId="47A0292A" w14:textId="77777777" w:rsidR="007E16BE" w:rsidRDefault="000A5A0A">
      <w:pPr>
        <w:numPr>
          <w:ilvl w:val="0"/>
          <w:numId w:val="2"/>
        </w:numPr>
        <w:spacing w:before="50" w:after="60"/>
      </w:pPr>
      <w:r>
        <w:rPr>
          <w:color w:val="222222"/>
        </w:rPr>
        <w:t>Preventive and wellness care, provided at zero cost-sharing</w:t>
      </w:r>
    </w:p>
    <w:p w14:paraId="66580334" w14:textId="77777777" w:rsidR="007E16BE" w:rsidRDefault="000A5A0A">
      <w:pPr>
        <w:numPr>
          <w:ilvl w:val="0"/>
          <w:numId w:val="2"/>
        </w:numPr>
        <w:spacing w:before="50" w:after="60"/>
      </w:pPr>
      <w:r>
        <w:rPr>
          <w:color w:val="222222"/>
        </w:rPr>
        <w:t>Pediatric services, including dental and vision coverage for enrollees under the age of 18</w:t>
      </w:r>
    </w:p>
    <w:p w14:paraId="597FBEA7" w14:textId="77777777" w:rsidR="007E16BE" w:rsidRDefault="007E16BE">
      <w:pPr>
        <w:spacing w:after="80"/>
      </w:pPr>
    </w:p>
    <w:p w14:paraId="14C1E191" w14:textId="77777777" w:rsidR="007E16BE" w:rsidRDefault="000A5A0A">
      <w:pPr>
        <w:pStyle w:val="Heading2"/>
      </w:pPr>
      <w:r>
        <w:t>2.  Pre-Existing Condition Protections</w:t>
      </w:r>
    </w:p>
    <w:p w14:paraId="6CF7236E" w14:textId="77777777" w:rsidR="007E16BE" w:rsidRDefault="000A5A0A">
      <w:pPr>
        <w:spacing w:before="60" w:after="120"/>
      </w:pPr>
      <w:r>
        <w:rPr>
          <w:color w:val="222222"/>
        </w:rPr>
        <w:t xml:space="preserve">All plans must accept applicants on a guaranteed-issue basis during open enrollment periods, without regard to health status. No plan may impose higher premiums, waiting periods, coverage exclusions, or any other coverage limitation </w:t>
      </w:r>
      <w:proofErr w:type="gramStart"/>
      <w:r>
        <w:rPr>
          <w:color w:val="222222"/>
        </w:rPr>
        <w:t>on the basis of</w:t>
      </w:r>
      <w:proofErr w:type="gramEnd"/>
      <w:r>
        <w:rPr>
          <w:color w:val="222222"/>
        </w:rPr>
        <w:t xml:space="preserve"> a pre-existing or current health condition. This protection is absolute and non-negotiable as a component of the coverage floor. The Pre-Existing Condition Coverage Program described in Section 3 addresses the actuarial cost implications for insurers; the consumer protection itself is unconditional.</w:t>
      </w:r>
    </w:p>
    <w:p w14:paraId="60173629" w14:textId="77777777" w:rsidR="007E16BE" w:rsidRDefault="007E16BE">
      <w:pPr>
        <w:spacing w:after="80"/>
      </w:pPr>
    </w:p>
    <w:p w14:paraId="75859ED4" w14:textId="77777777" w:rsidR="007E16BE" w:rsidRDefault="000A5A0A">
      <w:pPr>
        <w:pStyle w:val="Heading2"/>
      </w:pPr>
      <w:r>
        <w:lastRenderedPageBreak/>
        <w:t>3.  Community Rating Requirements</w:t>
      </w:r>
    </w:p>
    <w:p w14:paraId="222B265A" w14:textId="77777777" w:rsidR="007E16BE" w:rsidRDefault="000A5A0A">
      <w:pPr>
        <w:spacing w:before="60" w:after="120"/>
      </w:pPr>
      <w:r>
        <w:rPr>
          <w:color w:val="222222"/>
        </w:rPr>
        <w:t xml:space="preserve">Premium variation is permissible only </w:t>
      </w:r>
      <w:proofErr w:type="gramStart"/>
      <w:r>
        <w:rPr>
          <w:color w:val="222222"/>
        </w:rPr>
        <w:t>on the basis of</w:t>
      </w:r>
      <w:proofErr w:type="gramEnd"/>
      <w:r>
        <w:rPr>
          <w:color w:val="222222"/>
        </w:rPr>
        <w:t xml:space="preserve"> age, within a 3-to-1 ratio under which the premium for the oldest enrollees may not exceed three times the premium for the youngest; geographic rating area; and tobacco use, subject to a defined surcharge ceiling. Premium variation based on gender, health status, claims history, occupation, or any other personal characteristic is prohibited.</w:t>
      </w:r>
    </w:p>
    <w:p w14:paraId="6C6AFD6B" w14:textId="77777777" w:rsidR="007E16BE" w:rsidRDefault="007E16BE">
      <w:pPr>
        <w:spacing w:after="80"/>
      </w:pPr>
    </w:p>
    <w:p w14:paraId="5F88F0F3" w14:textId="77777777" w:rsidR="007E16BE" w:rsidRDefault="000A5A0A">
      <w:pPr>
        <w:pStyle w:val="Heading2"/>
      </w:pPr>
      <w:r>
        <w:t>4.  Annual Out-of-Pocket Expenditure Limits</w:t>
      </w:r>
    </w:p>
    <w:p w14:paraId="23907684" w14:textId="4E37344D" w:rsidR="007E16BE" w:rsidRDefault="000A5A0A">
      <w:pPr>
        <w:spacing w:before="60" w:after="120"/>
      </w:pPr>
      <w:r>
        <w:rPr>
          <w:color w:val="222222"/>
        </w:rPr>
        <w:t>All plans must cap annual enrollee out-of-pocket expenditures for covered services at defined maximum levels. The current ACA limits</w:t>
      </w:r>
      <w:r w:rsidR="006C31CC">
        <w:rPr>
          <w:color w:val="222222"/>
        </w:rPr>
        <w:t>,</w:t>
      </w:r>
      <w:r>
        <w:rPr>
          <w:color w:val="222222"/>
        </w:rPr>
        <w:t xml:space="preserve"> $9,450 for individuals and $18,900 for families in 2024</w:t>
      </w:r>
      <w:r w:rsidR="006C31CC">
        <w:rPr>
          <w:color w:val="222222"/>
        </w:rPr>
        <w:t xml:space="preserve">, </w:t>
      </w:r>
      <w:r>
        <w:rPr>
          <w:color w:val="222222"/>
        </w:rPr>
        <w:t>represent the initial baseline from which this platform would seek reductions as market competition improves plan efficiency. The absence of a meaningful expenditure cap renders insurance coverage inadequate as financial protection against catastrophic illness, undermining the fundamental purpose of coverage.</w:t>
      </w:r>
    </w:p>
    <w:p w14:paraId="781F706E" w14:textId="77777777" w:rsidR="007E16BE" w:rsidRDefault="007E16BE">
      <w:pPr>
        <w:spacing w:after="80"/>
      </w:pPr>
    </w:p>
    <w:p w14:paraId="69291AED" w14:textId="77777777" w:rsidR="007E16BE" w:rsidRDefault="000A5A0A">
      <w:pPr>
        <w:pStyle w:val="Heading2"/>
      </w:pPr>
      <w:r>
        <w:t>5.  Prohibition on Lifetime and Annual Benefit Limits</w:t>
      </w:r>
    </w:p>
    <w:p w14:paraId="68FAF6BF" w14:textId="3EDDFCC3" w:rsidR="007E16BE" w:rsidRDefault="000A5A0A">
      <w:pPr>
        <w:spacing w:before="60" w:after="120"/>
      </w:pPr>
      <w:r>
        <w:rPr>
          <w:color w:val="222222"/>
        </w:rPr>
        <w:t>No plan may impose aggregate benefit limits on either a lifetime or an annual basis. The pre-ACA practice of capping lifetime benefits</w:t>
      </w:r>
      <w:r w:rsidR="006C31CC">
        <w:rPr>
          <w:color w:val="222222"/>
        </w:rPr>
        <w:t>,</w:t>
      </w:r>
      <w:r>
        <w:rPr>
          <w:color w:val="222222"/>
        </w:rPr>
        <w:t xml:space="preserve"> commonly at $1 million</w:t>
      </w:r>
      <w:r w:rsidR="006C31CC">
        <w:rPr>
          <w:color w:val="222222"/>
        </w:rPr>
        <w:t xml:space="preserve">, </w:t>
      </w:r>
      <w:r>
        <w:rPr>
          <w:color w:val="222222"/>
        </w:rPr>
        <w:t>exposed enrollees facing cancer treatment, neonatal intensive care, or other high-cost conditions to the exhaustion of coverage mid-treatment. The floor prohibits this practice categorically.</w:t>
      </w:r>
    </w:p>
    <w:p w14:paraId="7ED8F8DD" w14:textId="77777777" w:rsidR="007E16BE" w:rsidRDefault="007E16BE">
      <w:pPr>
        <w:spacing w:after="80"/>
      </w:pPr>
    </w:p>
    <w:p w14:paraId="64D043AC" w14:textId="77777777" w:rsidR="007E16BE" w:rsidRDefault="000A5A0A">
      <w:pPr>
        <w:pStyle w:val="Heading2"/>
      </w:pPr>
      <w:r>
        <w:t>6.  Guaranteed Issue and Guaranteed Renewability</w:t>
      </w:r>
    </w:p>
    <w:p w14:paraId="24C11466" w14:textId="77777777" w:rsidR="007E16BE" w:rsidRDefault="000A5A0A">
      <w:pPr>
        <w:spacing w:before="60" w:after="120"/>
      </w:pPr>
      <w:r>
        <w:rPr>
          <w:color w:val="222222"/>
        </w:rPr>
        <w:t>All plans must accept applications from any eligible individual during the applicable open enrollment period, without regard to health status or claims history. All plans must renew coverage for existing enrollees upon request, without regard to the number or aggregate cost of claims incurred during the preceding coverage period. The pre-ACA practice of rescinding coverage upon the occurrence of significant claims is explicitly prohibited.</w:t>
      </w:r>
    </w:p>
    <w:p w14:paraId="1E384AA6" w14:textId="77777777" w:rsidR="007E16BE" w:rsidRDefault="007E16BE">
      <w:pPr>
        <w:spacing w:after="80"/>
      </w:pPr>
    </w:p>
    <w:p w14:paraId="7094819E" w14:textId="77777777" w:rsidR="007E16BE" w:rsidRDefault="000A5A0A">
      <w:pPr>
        <w:pStyle w:val="Heading2"/>
      </w:pPr>
      <w:r>
        <w:t>7.  Surprise Billing Prohibition with Enforcement</w:t>
      </w:r>
    </w:p>
    <w:p w14:paraId="0C3D76E6" w14:textId="1DEA90DE" w:rsidR="007E16BE" w:rsidRDefault="000A5A0A">
      <w:pPr>
        <w:spacing w:before="60" w:after="120"/>
      </w:pPr>
      <w:r>
        <w:rPr>
          <w:color w:val="222222"/>
        </w:rPr>
        <w:t>The No Surprises Act of 2020 established substantive protections against surprise billing but has been inconsistently enforced. The coverage floor codifies these prohibitions with civil monetary penalty structures calibrated to produce genuine deterrence rather than manageable compliance costs. Ground ambulance services</w:t>
      </w:r>
      <w:r w:rsidR="006C31CC">
        <w:rPr>
          <w:color w:val="222222"/>
        </w:rPr>
        <w:t xml:space="preserve">, </w:t>
      </w:r>
      <w:r>
        <w:rPr>
          <w:color w:val="222222"/>
        </w:rPr>
        <w:t>which remain the most significant remaining gap in surprise billing protections</w:t>
      </w:r>
      <w:r w:rsidR="006C31CC">
        <w:rPr>
          <w:color w:val="222222"/>
        </w:rPr>
        <w:t xml:space="preserve">, </w:t>
      </w:r>
      <w:r>
        <w:rPr>
          <w:color w:val="222222"/>
        </w:rPr>
        <w:t>are expressly included within the floor's prohibition.</w:t>
      </w:r>
    </w:p>
    <w:p w14:paraId="2D0709A2" w14:textId="77777777" w:rsidR="007E16BE" w:rsidRDefault="007E16BE">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16BE" w14:paraId="3930DB48" w14:textId="77777777">
        <w:tc>
          <w:tcPr>
            <w:tcW w:w="9360" w:type="dxa"/>
            <w:tcBorders>
              <w:top w:val="single" w:sz="1" w:space="0" w:color="CCCCCC"/>
              <w:left w:val="none" w:sz="0" w:space="0" w:color="FFFFFF"/>
              <w:bottom w:val="single" w:sz="1" w:space="0" w:color="CCCCCC"/>
              <w:right w:val="none" w:sz="0" w:space="0" w:color="FFFFFF"/>
            </w:tcBorders>
            <w:shd w:val="clear" w:color="auto" w:fill="1F3864"/>
            <w:tcMar>
              <w:top w:w="160" w:type="dxa"/>
              <w:left w:w="220" w:type="dxa"/>
              <w:bottom w:w="160" w:type="dxa"/>
              <w:right w:w="220" w:type="dxa"/>
            </w:tcMar>
          </w:tcPr>
          <w:p w14:paraId="0209488C" w14:textId="77777777" w:rsidR="007E16BE" w:rsidRDefault="000A5A0A">
            <w:r>
              <w:rPr>
                <w:b/>
                <w:bCs/>
                <w:color w:val="FFFFFF"/>
                <w:sz w:val="26"/>
                <w:szCs w:val="26"/>
              </w:rPr>
              <w:t>WHAT THE FLOOR DOES NOT GOVERN</w:t>
            </w:r>
          </w:p>
        </w:tc>
      </w:tr>
    </w:tbl>
    <w:p w14:paraId="22592A62" w14:textId="77777777" w:rsidR="007E16BE" w:rsidRDefault="007E16BE">
      <w:pPr>
        <w:spacing w:after="80"/>
      </w:pPr>
    </w:p>
    <w:p w14:paraId="51BBB82F" w14:textId="77777777" w:rsidR="007E16BE" w:rsidRDefault="000A5A0A">
      <w:pPr>
        <w:spacing w:before="60" w:after="120"/>
      </w:pPr>
      <w:r>
        <w:rPr>
          <w:color w:val="222222"/>
        </w:rPr>
        <w:t>The floor establishes a minimum standard; it does not impose a ceiling. Above the floor, insurers retain full competitive freedom in the following dimensions:</w:t>
      </w:r>
    </w:p>
    <w:p w14:paraId="2995C0F6" w14:textId="77777777" w:rsidR="007E16BE" w:rsidRDefault="000A5A0A">
      <w:pPr>
        <w:numPr>
          <w:ilvl w:val="0"/>
          <w:numId w:val="2"/>
        </w:numPr>
        <w:spacing w:before="50" w:after="60"/>
      </w:pPr>
      <w:r>
        <w:rPr>
          <w:color w:val="222222"/>
        </w:rPr>
        <w:lastRenderedPageBreak/>
        <w:t>Premium pricing: competitive pressure on premiums is the primary consumer benefit of the interstate market structure</w:t>
      </w:r>
    </w:p>
    <w:p w14:paraId="711867B2" w14:textId="77777777" w:rsidR="007E16BE" w:rsidRDefault="000A5A0A">
      <w:pPr>
        <w:numPr>
          <w:ilvl w:val="0"/>
          <w:numId w:val="2"/>
        </w:numPr>
        <w:spacing w:before="50" w:after="60"/>
      </w:pPr>
      <w:r>
        <w:rPr>
          <w:color w:val="222222"/>
        </w:rPr>
        <w:t>Provider network scope and composition: broader networks and preferred specialist access represent genuine competitive differentiation</w:t>
      </w:r>
    </w:p>
    <w:p w14:paraId="504EF8B2" w14:textId="77777777" w:rsidR="007E16BE" w:rsidRDefault="000A5A0A">
      <w:pPr>
        <w:numPr>
          <w:ilvl w:val="0"/>
          <w:numId w:val="2"/>
        </w:numPr>
        <w:spacing w:before="50" w:after="60"/>
      </w:pPr>
      <w:r>
        <w:rPr>
          <w:color w:val="222222"/>
        </w:rPr>
        <w:t>Drug formulary depth: coverage of brand-name medications or specialized therapies above the minimum formulary represents a legitimate competitive product feature</w:t>
      </w:r>
    </w:p>
    <w:p w14:paraId="00A7A733" w14:textId="77777777" w:rsidR="007E16BE" w:rsidRDefault="000A5A0A">
      <w:pPr>
        <w:numPr>
          <w:ilvl w:val="0"/>
          <w:numId w:val="2"/>
        </w:numPr>
        <w:spacing w:before="50" w:after="60"/>
      </w:pPr>
      <w:r>
        <w:rPr>
          <w:color w:val="222222"/>
        </w:rPr>
        <w:t>Cost-sharing and deductible design: HSA-compatible, zero-deductible, and hybrid designs all remain viable above the floor</w:t>
      </w:r>
    </w:p>
    <w:p w14:paraId="3AC5FD89" w14:textId="77777777" w:rsidR="007E16BE" w:rsidRDefault="000A5A0A">
      <w:pPr>
        <w:numPr>
          <w:ilvl w:val="0"/>
          <w:numId w:val="2"/>
        </w:numPr>
        <w:spacing w:before="50" w:after="60"/>
      </w:pPr>
      <w:r>
        <w:rPr>
          <w:color w:val="222222"/>
        </w:rPr>
        <w:t>Value-added services including telehealth integration, care coordination programs, wellness incentive structures, and supplemental benefit offerings</w:t>
      </w:r>
    </w:p>
    <w:p w14:paraId="589C387A" w14:textId="77777777" w:rsidR="007E16BE" w:rsidRDefault="007E16BE">
      <w:pPr>
        <w:spacing w:after="80"/>
      </w:pPr>
    </w:p>
    <w:p w14:paraId="7C2F7F1A" w14:textId="77777777" w:rsidR="007E16BE" w:rsidRDefault="000A5A0A">
      <w:pPr>
        <w:spacing w:before="60" w:after="120"/>
      </w:pPr>
      <w:r>
        <w:rPr>
          <w:color w:val="222222"/>
        </w:rPr>
        <w:t>The floor does not prescribe provider reimbursement rates, network adequacy methodologies, plan design architecture above the minimum, or product structure. HMOs, PPOs, EPOs, reference-based pricing arrangements, and Direct Primary Care-compatible products all remain viable plan types. Dental, vision, life, and disability insurance products remain subject exclusively to state regulatory jurisdiction and are entirely outside the scope of the federal coverage floor.</w:t>
      </w:r>
    </w:p>
    <w:p w14:paraId="452C0008" w14:textId="77777777" w:rsidR="007E16BE" w:rsidRDefault="000A5A0A">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16BE" w14:paraId="500253C8" w14:textId="77777777">
        <w:tc>
          <w:tcPr>
            <w:tcW w:w="9360" w:type="dxa"/>
            <w:tcBorders>
              <w:top w:val="single" w:sz="1" w:space="0" w:color="CCCCCC"/>
              <w:left w:val="none" w:sz="0" w:space="0" w:color="FFFFFF"/>
              <w:bottom w:val="single" w:sz="1" w:space="0" w:color="CCCCCC"/>
              <w:right w:val="none" w:sz="0" w:space="0" w:color="FFFFFF"/>
            </w:tcBorders>
            <w:shd w:val="clear" w:color="auto" w:fill="1F3864"/>
            <w:tcMar>
              <w:top w:w="160" w:type="dxa"/>
              <w:left w:w="220" w:type="dxa"/>
              <w:bottom w:w="160" w:type="dxa"/>
              <w:right w:w="220" w:type="dxa"/>
            </w:tcMar>
          </w:tcPr>
          <w:p w14:paraId="440A08D9" w14:textId="77777777" w:rsidR="007E16BE" w:rsidRDefault="000A5A0A">
            <w:r>
              <w:rPr>
                <w:b/>
                <w:bCs/>
                <w:color w:val="AEC6E8"/>
              </w:rPr>
              <w:lastRenderedPageBreak/>
              <w:t xml:space="preserve">SECTION </w:t>
            </w:r>
            <w:proofErr w:type="gramStart"/>
            <w:r>
              <w:rPr>
                <w:b/>
                <w:bCs/>
                <w:color w:val="AEC6E8"/>
              </w:rPr>
              <w:t xml:space="preserve">3  </w:t>
            </w:r>
            <w:r>
              <w:rPr>
                <w:b/>
                <w:bCs/>
                <w:color w:val="FFFFFF"/>
                <w:sz w:val="26"/>
                <w:szCs w:val="26"/>
              </w:rPr>
              <w:t>PRE</w:t>
            </w:r>
            <w:proofErr w:type="gramEnd"/>
            <w:r>
              <w:rPr>
                <w:b/>
                <w:bCs/>
                <w:color w:val="FFFFFF"/>
                <w:sz w:val="26"/>
                <w:szCs w:val="26"/>
              </w:rPr>
              <w:t>-EXISTING CONDITIONS: THE FEDERAL CARVE-OUT PROGRAM</w:t>
            </w:r>
          </w:p>
        </w:tc>
      </w:tr>
    </w:tbl>
    <w:p w14:paraId="04550F87" w14:textId="77777777" w:rsidR="007E16BE" w:rsidRDefault="007E16BE">
      <w:pPr>
        <w:spacing w:after="80"/>
      </w:pPr>
    </w:p>
    <w:p w14:paraId="4E4168C9" w14:textId="77777777" w:rsidR="007E16BE" w:rsidRDefault="000A5A0A">
      <w:pPr>
        <w:spacing w:before="60" w:after="120"/>
      </w:pPr>
      <w:r>
        <w:rPr>
          <w:color w:val="222222"/>
        </w:rPr>
        <w:t>Market pricing is an effective mechanism for allocating most insurance products; it is not appropriate for all of them. In the case of coverage for serious pre-existing medical conditions, actuarially fair pricing produces premiums that are financially inaccessible for the affected population. A person diagnosed with cancer, Type 1 diabetes, or multiple sclerosis cannot prospectively negotiate their coverage needs; they cannot self-insure against a risk that has already materialized; and they cannot benefit from the cost-reducing effect of maintaining good health. Standard market pricing mechanisms, absent structural intervention, consistently produce coverage outcomes for this population that range from prohibitively expensive to functionally inadequate.</w:t>
      </w:r>
    </w:p>
    <w:p w14:paraId="3E5DD072" w14:textId="77777777" w:rsidR="007E16BE" w:rsidRDefault="007E16BE">
      <w:pPr>
        <w:spacing w:after="80"/>
      </w:pPr>
    </w:p>
    <w:p w14:paraId="30126EB2" w14:textId="7697AAFC" w:rsidR="007E16BE" w:rsidRDefault="000A5A0A">
      <w:pPr>
        <w:spacing w:before="60" w:after="120"/>
      </w:pPr>
      <w:r>
        <w:rPr>
          <w:color w:val="222222"/>
        </w:rPr>
        <w:t>The proposal in this section is the most structurally novel component of this platform. It is not derived from existing partisan policy frameworks. It proceeds from a precise identification of the point at which market mechanisms fail</w:t>
      </w:r>
      <w:r w:rsidR="006C31CC">
        <w:rPr>
          <w:color w:val="222222"/>
        </w:rPr>
        <w:t xml:space="preserve">, </w:t>
      </w:r>
      <w:r>
        <w:rPr>
          <w:color w:val="222222"/>
        </w:rPr>
        <w:t>the pricing of insurance against conditions that have already been diagnosed</w:t>
      </w:r>
      <w:r w:rsidR="006C31CC">
        <w:rPr>
          <w:color w:val="222222"/>
        </w:rPr>
        <w:t xml:space="preserve">, </w:t>
      </w:r>
      <w:r>
        <w:rPr>
          <w:color w:val="222222"/>
        </w:rPr>
        <w:t>and proposes a targeted federal intervention calibrated to address that specific failure without displacing market mechanisms in any other context.</w:t>
      </w:r>
    </w:p>
    <w:p w14:paraId="4E2D6EDE" w14:textId="77777777" w:rsidR="007E16BE" w:rsidRDefault="007E16BE">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16BE" w14:paraId="4FA6430F" w14:textId="77777777">
        <w:tc>
          <w:tcPr>
            <w:tcW w:w="9360" w:type="dxa"/>
            <w:tcBorders>
              <w:top w:val="single" w:sz="1" w:space="0" w:color="CCCCCC"/>
              <w:left w:val="single" w:sz="1" w:space="0" w:color="CCCCCC"/>
              <w:bottom w:val="single" w:sz="1" w:space="0" w:color="CCCCCC"/>
              <w:right w:val="single" w:sz="1" w:space="0" w:color="CCCCCC"/>
            </w:tcBorders>
            <w:shd w:val="clear" w:color="auto" w:fill="EEF3FA"/>
            <w:tcMar>
              <w:top w:w="160" w:type="dxa"/>
              <w:left w:w="280" w:type="dxa"/>
              <w:bottom w:w="160" w:type="dxa"/>
              <w:right w:w="280" w:type="dxa"/>
            </w:tcMar>
          </w:tcPr>
          <w:p w14:paraId="40030A13" w14:textId="77777777" w:rsidR="007E16BE" w:rsidRDefault="000A5A0A">
            <w:r>
              <w:rPr>
                <w:i/>
                <w:iCs/>
                <w:color w:val="1F3864"/>
              </w:rPr>
              <w:t>The federal government has operated a functionally analogous program since 1972. The Medicare End-Stage Renal Disease Program provides comprehensive coverage for kidney failure treatment to individuals of any age, regardless of existing private insurance status. The program has operated continuously for over five decades. This platform proposes to extend the same structural logic to the full range of serious pre-existing conditions.</w:t>
            </w:r>
          </w:p>
        </w:tc>
      </w:tr>
    </w:tbl>
    <w:p w14:paraId="38676D38" w14:textId="77777777" w:rsidR="007E16BE" w:rsidRDefault="007E16BE">
      <w:pPr>
        <w:spacing w:after="80"/>
      </w:pPr>
    </w:p>
    <w:p w14:paraId="72D5BDDB" w14:textId="77777777" w:rsidR="007E16BE" w:rsidRDefault="000A5A0A">
      <w:pPr>
        <w:pStyle w:val="Heading2"/>
      </w:pPr>
      <w:r>
        <w:t>The Model: The Pre-Existing Condition Coverage Program (PCCP)</w:t>
      </w:r>
    </w:p>
    <w:p w14:paraId="0CE16376" w14:textId="77777777" w:rsidR="007E16BE" w:rsidRDefault="000A5A0A">
      <w:pPr>
        <w:pStyle w:val="Heading3"/>
      </w:pPr>
      <w:r>
        <w:t>Program Structure</w:t>
      </w:r>
    </w:p>
    <w:p w14:paraId="3DB164BC" w14:textId="77777777" w:rsidR="007E16BE" w:rsidRDefault="000A5A0A">
      <w:pPr>
        <w:spacing w:before="60" w:after="120"/>
      </w:pPr>
      <w:r>
        <w:rPr>
          <w:color w:val="222222"/>
        </w:rPr>
        <w:t>The Pre-Existing Condition Coverage Program operates as a condition-specific federal carve-out with a reinsurance backstop, utilizing Medicare's existing payment infrastructure. The operational sequence is as follows:</w:t>
      </w:r>
    </w:p>
    <w:p w14:paraId="597242FB" w14:textId="77777777" w:rsidR="007E16BE" w:rsidRDefault="000A5A0A">
      <w:pPr>
        <w:numPr>
          <w:ilvl w:val="0"/>
          <w:numId w:val="3"/>
        </w:numPr>
        <w:spacing w:before="50" w:after="70"/>
      </w:pPr>
      <w:r>
        <w:rPr>
          <w:color w:val="222222"/>
        </w:rPr>
        <w:t>An individual applies for private health insurance coverage through the open market and discloses qualifying pre-existing conditions in accordance with HHS clinical standards.</w:t>
      </w:r>
    </w:p>
    <w:p w14:paraId="0F808A5A" w14:textId="77777777" w:rsidR="007E16BE" w:rsidRDefault="000A5A0A">
      <w:pPr>
        <w:numPr>
          <w:ilvl w:val="0"/>
          <w:numId w:val="3"/>
        </w:numPr>
        <w:spacing w:before="50" w:after="70"/>
      </w:pPr>
      <w:r>
        <w:rPr>
          <w:color w:val="222222"/>
        </w:rPr>
        <w:t>Rather than incorporating the cost of those conditions into the plan premium or imposing coverage exclusions, the insurer enrolls the qualifying conditions in the federal PCCP.</w:t>
      </w:r>
    </w:p>
    <w:p w14:paraId="51485923" w14:textId="77777777" w:rsidR="007E16BE" w:rsidRDefault="000A5A0A">
      <w:pPr>
        <w:numPr>
          <w:ilvl w:val="0"/>
          <w:numId w:val="3"/>
        </w:numPr>
        <w:spacing w:before="50" w:after="70"/>
      </w:pPr>
      <w:r>
        <w:rPr>
          <w:color w:val="222222"/>
        </w:rPr>
        <w:t>The private plan provides comprehensive coverage for all services not associated with the carve-out conditions, including emergency services, hospitalization, maternity care, mental health treatment, prescription drugs, and all other essential benefits.</w:t>
      </w:r>
    </w:p>
    <w:p w14:paraId="5F9087A1" w14:textId="77777777" w:rsidR="007E16BE" w:rsidRDefault="000A5A0A">
      <w:pPr>
        <w:numPr>
          <w:ilvl w:val="0"/>
          <w:numId w:val="3"/>
        </w:numPr>
        <w:spacing w:before="50" w:after="70"/>
      </w:pPr>
      <w:r>
        <w:rPr>
          <w:color w:val="222222"/>
        </w:rPr>
        <w:t>The PCCP, operating through Medicare's existing provider networks, payment systems, and administrative infrastructure, covers treatment directly associated with the enrolled carve-out conditions.</w:t>
      </w:r>
    </w:p>
    <w:p w14:paraId="46B00541" w14:textId="77777777" w:rsidR="007E16BE" w:rsidRDefault="000A5A0A">
      <w:pPr>
        <w:numPr>
          <w:ilvl w:val="0"/>
          <w:numId w:val="3"/>
        </w:numPr>
        <w:spacing w:before="50" w:after="70"/>
      </w:pPr>
      <w:r>
        <w:rPr>
          <w:color w:val="222222"/>
        </w:rPr>
        <w:lastRenderedPageBreak/>
        <w:t>The private insurer prices the plan on the actuarial basis of a risk pool from which carve-out condition costs have been removed. Premiums reflect the actual risk profile of covered services, producing materially lower rates for affected individuals.</w:t>
      </w:r>
    </w:p>
    <w:p w14:paraId="69C65951" w14:textId="77777777" w:rsidR="007E16BE" w:rsidRDefault="007E16BE">
      <w:pPr>
        <w:spacing w:after="80"/>
      </w:pPr>
    </w:p>
    <w:p w14:paraId="795D55EF" w14:textId="77777777" w:rsidR="007E16BE" w:rsidRDefault="000A5A0A">
      <w:pPr>
        <w:pStyle w:val="Heading3"/>
      </w:pPr>
      <w:r>
        <w:t>Qualifying Conditions</w:t>
      </w:r>
    </w:p>
    <w:p w14:paraId="0CB6A60B" w14:textId="77777777" w:rsidR="007E16BE" w:rsidRDefault="000A5A0A">
      <w:pPr>
        <w:spacing w:before="60" w:after="120"/>
      </w:pPr>
      <w:r>
        <w:rPr>
          <w:color w:val="222222"/>
        </w:rPr>
        <w:t>The qualifying condition registry is established by Congress through legislation and maintained by the Department of Health and Human Services through regulatory processes. The initial registry reflects the conditions that rendered individuals uninsurable in the pre-ACA individual market:</w:t>
      </w:r>
    </w:p>
    <w:p w14:paraId="560C9CFB" w14:textId="77777777" w:rsidR="007E16BE" w:rsidRDefault="007E16BE">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7E16BE" w14:paraId="53E341ED" w14:textId="77777777">
        <w:tc>
          <w:tcPr>
            <w:tcW w:w="46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3CEF30BC" w14:textId="77777777" w:rsidR="007E16BE" w:rsidRDefault="000A5A0A">
            <w:pPr>
              <w:numPr>
                <w:ilvl w:val="0"/>
                <w:numId w:val="2"/>
              </w:numPr>
              <w:spacing w:before="40" w:after="50"/>
            </w:pPr>
            <w:r>
              <w:rPr>
                <w:color w:val="222222"/>
                <w:sz w:val="21"/>
                <w:szCs w:val="21"/>
              </w:rPr>
              <w:t>Cancer (history of or active treatment)</w:t>
            </w:r>
          </w:p>
          <w:p w14:paraId="3F2D772F" w14:textId="77777777" w:rsidR="007E16BE" w:rsidRDefault="000A5A0A">
            <w:pPr>
              <w:numPr>
                <w:ilvl w:val="0"/>
                <w:numId w:val="2"/>
              </w:numPr>
              <w:spacing w:before="40" w:after="50"/>
            </w:pPr>
            <w:r>
              <w:rPr>
                <w:color w:val="222222"/>
                <w:sz w:val="21"/>
                <w:szCs w:val="21"/>
              </w:rPr>
              <w:t>Type 1 and Type 2 diabetes</w:t>
            </w:r>
          </w:p>
          <w:p w14:paraId="4E422C93" w14:textId="77777777" w:rsidR="007E16BE" w:rsidRDefault="000A5A0A">
            <w:pPr>
              <w:numPr>
                <w:ilvl w:val="0"/>
                <w:numId w:val="2"/>
              </w:numPr>
              <w:spacing w:before="40" w:after="50"/>
            </w:pPr>
            <w:r>
              <w:rPr>
                <w:color w:val="222222"/>
                <w:sz w:val="21"/>
                <w:szCs w:val="21"/>
              </w:rPr>
              <w:t>Heart disease and prior cardiac events</w:t>
            </w:r>
          </w:p>
          <w:p w14:paraId="5BB4EFD2" w14:textId="77777777" w:rsidR="007E16BE" w:rsidRDefault="000A5A0A">
            <w:pPr>
              <w:numPr>
                <w:ilvl w:val="0"/>
                <w:numId w:val="2"/>
              </w:numPr>
              <w:spacing w:before="40" w:after="50"/>
            </w:pPr>
            <w:r>
              <w:rPr>
                <w:color w:val="222222"/>
                <w:sz w:val="21"/>
                <w:szCs w:val="21"/>
              </w:rPr>
              <w:t>HIV/AIDS</w:t>
            </w:r>
          </w:p>
          <w:p w14:paraId="4761451F" w14:textId="77777777" w:rsidR="007E16BE" w:rsidRDefault="000A5A0A">
            <w:pPr>
              <w:numPr>
                <w:ilvl w:val="0"/>
                <w:numId w:val="2"/>
              </w:numPr>
              <w:spacing w:before="40" w:after="50"/>
            </w:pPr>
            <w:r>
              <w:rPr>
                <w:color w:val="222222"/>
                <w:sz w:val="21"/>
                <w:szCs w:val="21"/>
              </w:rPr>
              <w:t>Multiple sclerosis</w:t>
            </w:r>
          </w:p>
          <w:p w14:paraId="79A59D6F" w14:textId="77777777" w:rsidR="007E16BE" w:rsidRDefault="000A5A0A">
            <w:pPr>
              <w:numPr>
                <w:ilvl w:val="0"/>
                <w:numId w:val="2"/>
              </w:numPr>
              <w:spacing w:before="40" w:after="50"/>
            </w:pPr>
            <w:r>
              <w:rPr>
                <w:color w:val="222222"/>
                <w:sz w:val="21"/>
                <w:szCs w:val="21"/>
              </w:rPr>
              <w:t>Lupus and autoimmune disorders</w:t>
            </w:r>
          </w:p>
        </w:tc>
        <w:tc>
          <w:tcPr>
            <w:tcW w:w="4680" w:type="dxa"/>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6195B018" w14:textId="77777777" w:rsidR="007E16BE" w:rsidRDefault="000A5A0A">
            <w:pPr>
              <w:numPr>
                <w:ilvl w:val="0"/>
                <w:numId w:val="2"/>
              </w:numPr>
              <w:spacing w:before="40" w:after="50"/>
            </w:pPr>
            <w:r>
              <w:rPr>
                <w:color w:val="222222"/>
                <w:sz w:val="21"/>
                <w:szCs w:val="21"/>
              </w:rPr>
              <w:t>Severe asthma and chronic obstructive pulmonary disease</w:t>
            </w:r>
          </w:p>
          <w:p w14:paraId="469183D3" w14:textId="77777777" w:rsidR="007E16BE" w:rsidRDefault="000A5A0A">
            <w:pPr>
              <w:numPr>
                <w:ilvl w:val="0"/>
                <w:numId w:val="2"/>
              </w:numPr>
              <w:spacing w:before="40" w:after="50"/>
            </w:pPr>
            <w:r>
              <w:rPr>
                <w:color w:val="222222"/>
                <w:sz w:val="21"/>
                <w:szCs w:val="21"/>
              </w:rPr>
              <w:t>Mental health conditions requiring ongoing pharmacological or clinical treatment</w:t>
            </w:r>
          </w:p>
          <w:p w14:paraId="577B2033" w14:textId="77777777" w:rsidR="007E16BE" w:rsidRDefault="000A5A0A">
            <w:pPr>
              <w:numPr>
                <w:ilvl w:val="0"/>
                <w:numId w:val="2"/>
              </w:numPr>
              <w:spacing w:before="40" w:after="50"/>
            </w:pPr>
            <w:r>
              <w:rPr>
                <w:color w:val="222222"/>
                <w:sz w:val="21"/>
                <w:szCs w:val="21"/>
              </w:rPr>
              <w:t>Epilepsy and seizure disorders</w:t>
            </w:r>
          </w:p>
          <w:p w14:paraId="298F299B" w14:textId="77777777" w:rsidR="007E16BE" w:rsidRDefault="000A5A0A">
            <w:pPr>
              <w:numPr>
                <w:ilvl w:val="0"/>
                <w:numId w:val="2"/>
              </w:numPr>
              <w:spacing w:before="40" w:after="50"/>
            </w:pPr>
            <w:r>
              <w:rPr>
                <w:color w:val="222222"/>
                <w:sz w:val="21"/>
                <w:szCs w:val="21"/>
              </w:rPr>
              <w:t>Organ transplant recipients</w:t>
            </w:r>
          </w:p>
          <w:p w14:paraId="743BFA6B" w14:textId="77777777" w:rsidR="007E16BE" w:rsidRDefault="000A5A0A">
            <w:pPr>
              <w:numPr>
                <w:ilvl w:val="0"/>
                <w:numId w:val="2"/>
              </w:numPr>
              <w:spacing w:before="40" w:after="50"/>
            </w:pPr>
            <w:r>
              <w:rPr>
                <w:color w:val="222222"/>
                <w:sz w:val="21"/>
                <w:szCs w:val="21"/>
              </w:rPr>
              <w:t>Chronic kidney disease</w:t>
            </w:r>
          </w:p>
          <w:p w14:paraId="3C02D647" w14:textId="77777777" w:rsidR="007E16BE" w:rsidRDefault="000A5A0A">
            <w:pPr>
              <w:numPr>
                <w:ilvl w:val="0"/>
                <w:numId w:val="2"/>
              </w:numPr>
              <w:spacing w:before="40" w:after="50"/>
            </w:pPr>
            <w:r>
              <w:rPr>
                <w:color w:val="222222"/>
                <w:sz w:val="21"/>
                <w:szCs w:val="21"/>
              </w:rPr>
              <w:t>Hemophilia and related blood disorders</w:t>
            </w:r>
          </w:p>
        </w:tc>
      </w:tr>
    </w:tbl>
    <w:p w14:paraId="5064FCA9" w14:textId="77777777" w:rsidR="007E16BE" w:rsidRDefault="007E16BE">
      <w:pPr>
        <w:spacing w:after="80"/>
      </w:pPr>
    </w:p>
    <w:p w14:paraId="4D3DB7E2" w14:textId="77777777" w:rsidR="007E16BE" w:rsidRDefault="000A5A0A">
      <w:pPr>
        <w:spacing w:before="60" w:after="120"/>
      </w:pPr>
      <w:r>
        <w:rPr>
          <w:color w:val="222222"/>
        </w:rPr>
        <w:t>Enrollment eligibility is determined by documented physician diagnosis meeting HHS-specified clinical criteria. The registry is defined by objective clinical standards, not by insurer discretion or claims administrator judgment.</w:t>
      </w:r>
    </w:p>
    <w:p w14:paraId="53C446CC" w14:textId="77777777" w:rsidR="007E16BE" w:rsidRDefault="007E16BE">
      <w:pPr>
        <w:spacing w:after="80"/>
      </w:pPr>
    </w:p>
    <w:p w14:paraId="2BDCD6F4" w14:textId="77777777" w:rsidR="007E16BE" w:rsidRDefault="000A5A0A">
      <w:pPr>
        <w:pStyle w:val="Heading3"/>
      </w:pPr>
      <w:r>
        <w:t>Lifetime Enrollment</w:t>
      </w:r>
    </w:p>
    <w:p w14:paraId="522F161F" w14:textId="77777777" w:rsidR="007E16BE" w:rsidRDefault="000A5A0A">
      <w:pPr>
        <w:spacing w:before="60" w:after="120"/>
      </w:pPr>
      <w:r>
        <w:rPr>
          <w:color w:val="222222"/>
        </w:rPr>
        <w:t xml:space="preserve">Upon qualifying for PCCP enrollment for a specific condition, an individual is enrolled for life with respect to that condition. No periodic re-evaluation, annual renewal process, or re-qualification requirement applies to PCCP enrollment. This design reflects the recognition that coverage certainty is a material component of the value provided by the program. Individuals managing serious chronic or episodic conditions require stable coverage assurance </w:t>
      </w:r>
      <w:proofErr w:type="gramStart"/>
      <w:r>
        <w:rPr>
          <w:color w:val="222222"/>
        </w:rPr>
        <w:t>in order to</w:t>
      </w:r>
      <w:proofErr w:type="gramEnd"/>
      <w:r>
        <w:rPr>
          <w:color w:val="222222"/>
        </w:rPr>
        <w:t xml:space="preserve"> make informed employment, residential, and family planning decisions. An enrollment structure subject to periodic re-evaluation would reintroduce the coverage uncertainty that the program is designed to eliminate.</w:t>
      </w:r>
    </w:p>
    <w:p w14:paraId="7370880A" w14:textId="77777777" w:rsidR="007E16BE" w:rsidRDefault="007E16BE">
      <w:pPr>
        <w:spacing w:after="80"/>
      </w:pPr>
    </w:p>
    <w:p w14:paraId="3F1FCD3C" w14:textId="77777777" w:rsidR="007E16BE" w:rsidRDefault="000A5A0A">
      <w:pPr>
        <w:pStyle w:val="Heading3"/>
      </w:pPr>
      <w:r>
        <w:t>Program Funding</w:t>
      </w:r>
    </w:p>
    <w:p w14:paraId="42115C53" w14:textId="77777777" w:rsidR="007E16BE" w:rsidRDefault="000A5A0A">
      <w:pPr>
        <w:spacing w:before="60" w:after="120"/>
      </w:pPr>
      <w:r>
        <w:rPr>
          <w:color w:val="222222"/>
        </w:rPr>
        <w:t>The PCCP is funded through a dedicated revenue mechanism, maintained separately from general appropriations, to ensure fiscal transparency and program accountability:</w:t>
      </w:r>
    </w:p>
    <w:p w14:paraId="2F0FBAB7" w14:textId="77777777" w:rsidR="007E16BE" w:rsidRDefault="000A5A0A">
      <w:pPr>
        <w:numPr>
          <w:ilvl w:val="0"/>
          <w:numId w:val="2"/>
        </w:numPr>
        <w:spacing w:before="50" w:after="60"/>
      </w:pPr>
      <w:r>
        <w:rPr>
          <w:color w:val="222222"/>
        </w:rPr>
        <w:t>A dedicated payroll tax assessed on both employers and employees, structured analogously to the Medicare Part A hospital insurance tax, with revenue dedicated exclusively to PCCP operations and isolated from general revenue fluctuations</w:t>
      </w:r>
    </w:p>
    <w:p w14:paraId="097ABACD" w14:textId="77777777" w:rsidR="007E16BE" w:rsidRDefault="000A5A0A">
      <w:pPr>
        <w:numPr>
          <w:ilvl w:val="0"/>
          <w:numId w:val="2"/>
        </w:numPr>
        <w:spacing w:before="50" w:after="60"/>
      </w:pPr>
      <w:r>
        <w:rPr>
          <w:color w:val="222222"/>
        </w:rPr>
        <w:t>A risk-adjustment assessment levied on private insurers whose risk pool composition benefits from the carve-out structure, reflecting a partial offset of federal cost by the private market participants whose premium structures are improved by the program</w:t>
      </w:r>
    </w:p>
    <w:p w14:paraId="445D066A" w14:textId="77777777" w:rsidR="007E16BE" w:rsidRDefault="000A5A0A">
      <w:pPr>
        <w:numPr>
          <w:ilvl w:val="0"/>
          <w:numId w:val="2"/>
        </w:numPr>
        <w:spacing w:before="50" w:after="60"/>
      </w:pPr>
      <w:r>
        <w:rPr>
          <w:color w:val="222222"/>
        </w:rPr>
        <w:lastRenderedPageBreak/>
        <w:t>Documented federal offsets from reduced emergency department expenditure, reduced late-stage treatment costs, and reduced Medicaid dependency among individuals whose conditions were previously uninsured or underinsured</w:t>
      </w:r>
    </w:p>
    <w:p w14:paraId="3FCBF656" w14:textId="77777777" w:rsidR="007E16BE" w:rsidRDefault="007E16BE">
      <w:pPr>
        <w:spacing w:after="80"/>
      </w:pPr>
    </w:p>
    <w:p w14:paraId="0EB61551" w14:textId="729B9833" w:rsidR="007E16BE" w:rsidRDefault="000A5A0A">
      <w:pPr>
        <w:spacing w:before="60" w:after="120"/>
      </w:pPr>
      <w:r>
        <w:rPr>
          <w:color w:val="222222"/>
        </w:rPr>
        <w:t>The fiscal case for the PCCP rests on a recognition that the relevant comparison is not between program cost and zero expenditure, but between program cost and the cost of the status quo. High-cost enrollees with unmanaged pre-existing conditions generate substantial expenditure through emergency services, late-stage disease treatment, and public program utilization. The PCCP converts this crisis-driven, high-unit-cost expenditure into planned, preventive, lower-unit-cost treatment. The actuarial improvement in private market risk pools</w:t>
      </w:r>
      <w:r w:rsidR="006C31CC">
        <w:rPr>
          <w:color w:val="222222"/>
        </w:rPr>
        <w:t xml:space="preserve">, </w:t>
      </w:r>
      <w:r>
        <w:rPr>
          <w:color w:val="222222"/>
        </w:rPr>
        <w:t>producing broader enrollment, better risk distribution, and lower premium</w:t>
      </w:r>
      <w:r w:rsidR="006C31CC">
        <w:rPr>
          <w:color w:val="222222"/>
        </w:rPr>
        <w:t>s,</w:t>
      </w:r>
      <w:r>
        <w:rPr>
          <w:color w:val="222222"/>
        </w:rPr>
        <w:t xml:space="preserve"> generates system-wide savings that partially offset federal program costs.</w:t>
      </w:r>
    </w:p>
    <w:p w14:paraId="7A5C7041" w14:textId="77777777" w:rsidR="007E16BE" w:rsidRDefault="007E16BE">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16BE" w14:paraId="353F0B66" w14:textId="77777777">
        <w:tc>
          <w:tcPr>
            <w:tcW w:w="9360" w:type="dxa"/>
            <w:tcBorders>
              <w:top w:val="single" w:sz="1" w:space="0" w:color="CCCCCC"/>
              <w:left w:val="none" w:sz="0" w:space="0" w:color="FFFFFF"/>
              <w:bottom w:val="single" w:sz="1" w:space="0" w:color="CCCCCC"/>
              <w:right w:val="none" w:sz="0" w:space="0" w:color="FFFFFF"/>
            </w:tcBorders>
            <w:shd w:val="clear" w:color="auto" w:fill="1F3864"/>
            <w:tcMar>
              <w:top w:w="160" w:type="dxa"/>
              <w:left w:w="220" w:type="dxa"/>
              <w:bottom w:w="160" w:type="dxa"/>
              <w:right w:w="220" w:type="dxa"/>
            </w:tcMar>
          </w:tcPr>
          <w:p w14:paraId="474B77C8" w14:textId="77777777" w:rsidR="007E16BE" w:rsidRDefault="000A5A0A">
            <w:r>
              <w:rPr>
                <w:b/>
                <w:bCs/>
                <w:color w:val="FFFFFF"/>
                <w:sz w:val="26"/>
                <w:szCs w:val="26"/>
              </w:rPr>
              <w:t>ESTABLISHED PRECEDENTS FOR THE PCCP MODEL</w:t>
            </w:r>
          </w:p>
        </w:tc>
      </w:tr>
    </w:tbl>
    <w:p w14:paraId="4EA5166E" w14:textId="77777777" w:rsidR="007E16BE" w:rsidRDefault="007E16BE">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480"/>
        <w:gridCol w:w="3480"/>
      </w:tblGrid>
      <w:tr w:rsidR="007E16BE" w14:paraId="76C76632" w14:textId="77777777">
        <w:tc>
          <w:tcPr>
            <w:tcW w:w="2400" w:type="dxa"/>
            <w:tcBorders>
              <w:top w:val="single" w:sz="1" w:space="0" w:color="CCCCCC"/>
              <w:left w:val="single" w:sz="1" w:space="0" w:color="CCCCCC"/>
              <w:bottom w:val="single" w:sz="1" w:space="0" w:color="CCCCCC"/>
              <w:right w:val="single" w:sz="1" w:space="0" w:color="CCCCCC"/>
            </w:tcBorders>
            <w:shd w:val="clear" w:color="auto" w:fill="1F3864"/>
            <w:tcMar>
              <w:top w:w="100" w:type="dxa"/>
              <w:left w:w="160" w:type="dxa"/>
              <w:bottom w:w="100" w:type="dxa"/>
              <w:right w:w="160" w:type="dxa"/>
            </w:tcMar>
          </w:tcPr>
          <w:p w14:paraId="2E5A53A7" w14:textId="77777777" w:rsidR="007E16BE" w:rsidRDefault="000A5A0A">
            <w:r>
              <w:rPr>
                <w:b/>
                <w:bCs/>
                <w:color w:val="FFFFFF"/>
                <w:sz w:val="20"/>
                <w:szCs w:val="20"/>
              </w:rPr>
              <w:t>Program</w:t>
            </w:r>
          </w:p>
        </w:tc>
        <w:tc>
          <w:tcPr>
            <w:tcW w:w="3480" w:type="dxa"/>
            <w:tcBorders>
              <w:top w:val="single" w:sz="1" w:space="0" w:color="CCCCCC"/>
              <w:left w:val="single" w:sz="1" w:space="0" w:color="CCCCCC"/>
              <w:bottom w:val="single" w:sz="1" w:space="0" w:color="CCCCCC"/>
              <w:right w:val="single" w:sz="1" w:space="0" w:color="CCCCCC"/>
            </w:tcBorders>
            <w:shd w:val="clear" w:color="auto" w:fill="1F3864"/>
            <w:tcMar>
              <w:top w:w="100" w:type="dxa"/>
              <w:left w:w="160" w:type="dxa"/>
              <w:bottom w:w="100" w:type="dxa"/>
              <w:right w:w="160" w:type="dxa"/>
            </w:tcMar>
          </w:tcPr>
          <w:p w14:paraId="5A47F167" w14:textId="77777777" w:rsidR="007E16BE" w:rsidRDefault="000A5A0A">
            <w:r>
              <w:rPr>
                <w:b/>
                <w:bCs/>
                <w:color w:val="FFFFFF"/>
                <w:sz w:val="20"/>
                <w:szCs w:val="20"/>
              </w:rPr>
              <w:t>Mechanism</w:t>
            </w:r>
          </w:p>
        </w:tc>
        <w:tc>
          <w:tcPr>
            <w:tcW w:w="3480" w:type="dxa"/>
            <w:tcBorders>
              <w:top w:val="single" w:sz="1" w:space="0" w:color="CCCCCC"/>
              <w:left w:val="single" w:sz="1" w:space="0" w:color="CCCCCC"/>
              <w:bottom w:val="single" w:sz="1" w:space="0" w:color="CCCCCC"/>
              <w:right w:val="single" w:sz="1" w:space="0" w:color="CCCCCC"/>
            </w:tcBorders>
            <w:shd w:val="clear" w:color="auto" w:fill="1F3864"/>
            <w:tcMar>
              <w:top w:w="100" w:type="dxa"/>
              <w:left w:w="160" w:type="dxa"/>
              <w:bottom w:w="100" w:type="dxa"/>
              <w:right w:w="160" w:type="dxa"/>
            </w:tcMar>
          </w:tcPr>
          <w:p w14:paraId="1504DE0D" w14:textId="77777777" w:rsidR="007E16BE" w:rsidRDefault="000A5A0A">
            <w:r>
              <w:rPr>
                <w:b/>
                <w:bCs/>
                <w:color w:val="FFFFFF"/>
                <w:sz w:val="20"/>
                <w:szCs w:val="20"/>
              </w:rPr>
              <w:t>Relevance to PCCP</w:t>
            </w:r>
          </w:p>
        </w:tc>
      </w:tr>
      <w:tr w:rsidR="007E16BE" w14:paraId="1ADC6045" w14:textId="77777777">
        <w:tc>
          <w:tcPr>
            <w:tcW w:w="2400" w:type="dxa"/>
            <w:tcBorders>
              <w:top w:val="single" w:sz="1" w:space="0" w:color="CCCCCC"/>
              <w:left w:val="single" w:sz="1" w:space="0" w:color="CCCCCC"/>
              <w:bottom w:val="single" w:sz="1" w:space="0" w:color="CCCCCC"/>
              <w:right w:val="single" w:sz="1" w:space="0" w:color="CCCCCC"/>
            </w:tcBorders>
            <w:shd w:val="clear" w:color="auto" w:fill="EEF3FA"/>
            <w:tcMar>
              <w:top w:w="90" w:type="dxa"/>
              <w:left w:w="160" w:type="dxa"/>
              <w:bottom w:w="90" w:type="dxa"/>
              <w:right w:w="160" w:type="dxa"/>
            </w:tcMar>
          </w:tcPr>
          <w:p w14:paraId="5AA88552" w14:textId="77777777" w:rsidR="007E16BE" w:rsidRDefault="000A5A0A">
            <w:r>
              <w:rPr>
                <w:color w:val="222222"/>
                <w:sz w:val="20"/>
                <w:szCs w:val="20"/>
              </w:rPr>
              <w:t>Medicare ESRD Program (1972 to present)</w:t>
            </w:r>
          </w:p>
        </w:tc>
        <w:tc>
          <w:tcPr>
            <w:tcW w:w="3480" w:type="dxa"/>
            <w:tcBorders>
              <w:top w:val="single" w:sz="1" w:space="0" w:color="CCCCCC"/>
              <w:left w:val="single" w:sz="1" w:space="0" w:color="CCCCCC"/>
              <w:bottom w:val="single" w:sz="1" w:space="0" w:color="CCCCCC"/>
              <w:right w:val="single" w:sz="1" w:space="0" w:color="CCCCCC"/>
            </w:tcBorders>
            <w:shd w:val="clear" w:color="auto" w:fill="EEF3FA"/>
            <w:tcMar>
              <w:top w:w="90" w:type="dxa"/>
              <w:left w:w="160" w:type="dxa"/>
              <w:bottom w:w="90" w:type="dxa"/>
              <w:right w:w="160" w:type="dxa"/>
            </w:tcMar>
          </w:tcPr>
          <w:p w14:paraId="0E0F900E" w14:textId="77777777" w:rsidR="007E16BE" w:rsidRDefault="000A5A0A">
            <w:r>
              <w:rPr>
                <w:color w:val="222222"/>
                <w:sz w:val="20"/>
                <w:szCs w:val="20"/>
              </w:rPr>
              <w:t>Federal coverage of kidney failure treatment for all ages, irrespective of private insurance status</w:t>
            </w:r>
          </w:p>
        </w:tc>
        <w:tc>
          <w:tcPr>
            <w:tcW w:w="3480" w:type="dxa"/>
            <w:tcBorders>
              <w:top w:val="single" w:sz="1" w:space="0" w:color="CCCCCC"/>
              <w:left w:val="single" w:sz="1" w:space="0" w:color="CCCCCC"/>
              <w:bottom w:val="single" w:sz="1" w:space="0" w:color="CCCCCC"/>
              <w:right w:val="single" w:sz="1" w:space="0" w:color="CCCCCC"/>
            </w:tcBorders>
            <w:shd w:val="clear" w:color="auto" w:fill="EEF3FA"/>
            <w:tcMar>
              <w:top w:w="90" w:type="dxa"/>
              <w:left w:w="160" w:type="dxa"/>
              <w:bottom w:w="90" w:type="dxa"/>
              <w:right w:w="160" w:type="dxa"/>
            </w:tcMar>
          </w:tcPr>
          <w:p w14:paraId="061626D5" w14:textId="77777777" w:rsidR="007E16BE" w:rsidRDefault="000A5A0A">
            <w:r>
              <w:rPr>
                <w:color w:val="222222"/>
                <w:sz w:val="20"/>
                <w:szCs w:val="20"/>
              </w:rPr>
              <w:t>Validates the operational feasibility of condition-specific federal carve-outs at national scale across more than five decades of continuous operation</w:t>
            </w:r>
          </w:p>
        </w:tc>
      </w:tr>
      <w:tr w:rsidR="007E16BE" w14:paraId="7567F47F"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90" w:type="dxa"/>
              <w:left w:w="160" w:type="dxa"/>
              <w:bottom w:w="90" w:type="dxa"/>
              <w:right w:w="160" w:type="dxa"/>
            </w:tcMar>
          </w:tcPr>
          <w:p w14:paraId="1365F4F6" w14:textId="77777777" w:rsidR="007E16BE" w:rsidRDefault="000A5A0A">
            <w:r>
              <w:rPr>
                <w:color w:val="222222"/>
                <w:sz w:val="20"/>
                <w:szCs w:val="20"/>
              </w:rPr>
              <w:t>State High-Risk Pools (pre-ACA)</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90" w:type="dxa"/>
              <w:left w:w="160" w:type="dxa"/>
              <w:bottom w:w="90" w:type="dxa"/>
              <w:right w:w="160" w:type="dxa"/>
            </w:tcMar>
          </w:tcPr>
          <w:p w14:paraId="49733631" w14:textId="77777777" w:rsidR="007E16BE" w:rsidRDefault="000A5A0A">
            <w:r>
              <w:rPr>
                <w:color w:val="222222"/>
                <w:sz w:val="20"/>
                <w:szCs w:val="20"/>
              </w:rPr>
              <w:t>State-administered subsidized insurance pools for individuals denied coverage in the private market</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90" w:type="dxa"/>
              <w:left w:w="160" w:type="dxa"/>
              <w:bottom w:w="90" w:type="dxa"/>
              <w:right w:w="160" w:type="dxa"/>
            </w:tcMar>
          </w:tcPr>
          <w:p w14:paraId="63F2D1D0" w14:textId="77777777" w:rsidR="007E16BE" w:rsidRDefault="000A5A0A">
            <w:r>
              <w:rPr>
                <w:color w:val="222222"/>
                <w:sz w:val="20"/>
                <w:szCs w:val="20"/>
              </w:rPr>
              <w:t>Validates the structural concept; documented failures attributable to chronic underfunding and premium design errors, not to the carve-out model itself</w:t>
            </w:r>
          </w:p>
        </w:tc>
      </w:tr>
      <w:tr w:rsidR="007E16BE" w14:paraId="2EB0341F" w14:textId="77777777">
        <w:tc>
          <w:tcPr>
            <w:tcW w:w="2400" w:type="dxa"/>
            <w:tcBorders>
              <w:top w:val="single" w:sz="1" w:space="0" w:color="CCCCCC"/>
              <w:left w:val="single" w:sz="1" w:space="0" w:color="CCCCCC"/>
              <w:bottom w:val="single" w:sz="1" w:space="0" w:color="CCCCCC"/>
              <w:right w:val="single" w:sz="1" w:space="0" w:color="CCCCCC"/>
            </w:tcBorders>
            <w:shd w:val="clear" w:color="auto" w:fill="EEF3FA"/>
            <w:tcMar>
              <w:top w:w="90" w:type="dxa"/>
              <w:left w:w="160" w:type="dxa"/>
              <w:bottom w:w="90" w:type="dxa"/>
              <w:right w:w="160" w:type="dxa"/>
            </w:tcMar>
          </w:tcPr>
          <w:p w14:paraId="301BA778" w14:textId="77777777" w:rsidR="007E16BE" w:rsidRDefault="000A5A0A">
            <w:r>
              <w:rPr>
                <w:color w:val="222222"/>
                <w:sz w:val="20"/>
                <w:szCs w:val="20"/>
              </w:rPr>
              <w:t>Alaska Reinsurance Program (2018)</w:t>
            </w:r>
          </w:p>
        </w:tc>
        <w:tc>
          <w:tcPr>
            <w:tcW w:w="3480" w:type="dxa"/>
            <w:tcBorders>
              <w:top w:val="single" w:sz="1" w:space="0" w:color="CCCCCC"/>
              <w:left w:val="single" w:sz="1" w:space="0" w:color="CCCCCC"/>
              <w:bottom w:val="single" w:sz="1" w:space="0" w:color="CCCCCC"/>
              <w:right w:val="single" w:sz="1" w:space="0" w:color="CCCCCC"/>
            </w:tcBorders>
            <w:shd w:val="clear" w:color="auto" w:fill="EEF3FA"/>
            <w:tcMar>
              <w:top w:w="90" w:type="dxa"/>
              <w:left w:w="160" w:type="dxa"/>
              <w:bottom w:w="90" w:type="dxa"/>
              <w:right w:w="160" w:type="dxa"/>
            </w:tcMar>
          </w:tcPr>
          <w:p w14:paraId="2FF47FAF" w14:textId="77777777" w:rsidR="007E16BE" w:rsidRDefault="000A5A0A">
            <w:r>
              <w:rPr>
                <w:color w:val="222222"/>
                <w:sz w:val="20"/>
                <w:szCs w:val="20"/>
              </w:rPr>
              <w:t>State reimbursement of private insurers for claims above a defined cost threshold</w:t>
            </w:r>
          </w:p>
        </w:tc>
        <w:tc>
          <w:tcPr>
            <w:tcW w:w="3480" w:type="dxa"/>
            <w:tcBorders>
              <w:top w:val="single" w:sz="1" w:space="0" w:color="CCCCCC"/>
              <w:left w:val="single" w:sz="1" w:space="0" w:color="CCCCCC"/>
              <w:bottom w:val="single" w:sz="1" w:space="0" w:color="CCCCCC"/>
              <w:right w:val="single" w:sz="1" w:space="0" w:color="CCCCCC"/>
            </w:tcBorders>
            <w:shd w:val="clear" w:color="auto" w:fill="EEF3FA"/>
            <w:tcMar>
              <w:top w:w="90" w:type="dxa"/>
              <w:left w:w="160" w:type="dxa"/>
              <w:bottom w:w="90" w:type="dxa"/>
              <w:right w:w="160" w:type="dxa"/>
            </w:tcMar>
          </w:tcPr>
          <w:p w14:paraId="51D3354A" w14:textId="77777777" w:rsidR="007E16BE" w:rsidRDefault="000A5A0A">
            <w:r>
              <w:rPr>
                <w:color w:val="222222"/>
                <w:sz w:val="20"/>
                <w:szCs w:val="20"/>
              </w:rPr>
              <w:t>Documents a 22% average premium reduction in the initial program year, demonstrating reinsurance efficacy at the state level</w:t>
            </w:r>
          </w:p>
        </w:tc>
      </w:tr>
      <w:tr w:rsidR="007E16BE" w14:paraId="61E9418A"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90" w:type="dxa"/>
              <w:left w:w="160" w:type="dxa"/>
              <w:bottom w:w="90" w:type="dxa"/>
              <w:right w:w="160" w:type="dxa"/>
            </w:tcMar>
          </w:tcPr>
          <w:p w14:paraId="38CC53BE" w14:textId="77777777" w:rsidR="007E16BE" w:rsidRDefault="000A5A0A">
            <w:r>
              <w:rPr>
                <w:color w:val="222222"/>
                <w:sz w:val="20"/>
                <w:szCs w:val="20"/>
              </w:rPr>
              <w:t>ACA Section 1341 Federal Reinsurance</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90" w:type="dxa"/>
              <w:left w:w="160" w:type="dxa"/>
              <w:bottom w:w="90" w:type="dxa"/>
              <w:right w:w="160" w:type="dxa"/>
            </w:tcMar>
          </w:tcPr>
          <w:p w14:paraId="11B568A2" w14:textId="77777777" w:rsidR="007E16BE" w:rsidRDefault="000A5A0A">
            <w:r>
              <w:rPr>
                <w:color w:val="222222"/>
                <w:sz w:val="20"/>
                <w:szCs w:val="20"/>
              </w:rPr>
              <w:t>Federal reinsurance contributions reduced premium growth during the ACA transition period</w:t>
            </w:r>
          </w:p>
        </w:tc>
        <w:tc>
          <w:tcPr>
            <w:tcW w:w="3480" w:type="dxa"/>
            <w:tcBorders>
              <w:top w:val="single" w:sz="1" w:space="0" w:color="CCCCCC"/>
              <w:left w:val="single" w:sz="1" w:space="0" w:color="CCCCCC"/>
              <w:bottom w:val="single" w:sz="1" w:space="0" w:color="CCCCCC"/>
              <w:right w:val="single" w:sz="1" w:space="0" w:color="CCCCCC"/>
            </w:tcBorders>
            <w:shd w:val="clear" w:color="auto" w:fill="FFFFFF"/>
            <w:tcMar>
              <w:top w:w="90" w:type="dxa"/>
              <w:left w:w="160" w:type="dxa"/>
              <w:bottom w:w="90" w:type="dxa"/>
              <w:right w:w="160" w:type="dxa"/>
            </w:tcMar>
          </w:tcPr>
          <w:p w14:paraId="777BC2B3" w14:textId="77777777" w:rsidR="007E16BE" w:rsidRDefault="000A5A0A">
            <w:r>
              <w:rPr>
                <w:color w:val="222222"/>
                <w:sz w:val="20"/>
                <w:szCs w:val="20"/>
              </w:rPr>
              <w:t>Demonstrates that federal backstop mechanisms can stabilize private market premiums without displacing the private insurance market structure</w:t>
            </w:r>
          </w:p>
        </w:tc>
      </w:tr>
    </w:tbl>
    <w:p w14:paraId="4C84365B" w14:textId="77777777" w:rsidR="007E16BE" w:rsidRDefault="007E16BE">
      <w:pPr>
        <w:spacing w:after="80"/>
      </w:pPr>
    </w:p>
    <w:p w14:paraId="07261821" w14:textId="77777777" w:rsidR="007E16BE" w:rsidRDefault="000A5A0A">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16BE" w14:paraId="34082B82" w14:textId="77777777">
        <w:tc>
          <w:tcPr>
            <w:tcW w:w="9360" w:type="dxa"/>
            <w:tcBorders>
              <w:top w:val="single" w:sz="1" w:space="0" w:color="CCCCCC"/>
              <w:left w:val="none" w:sz="0" w:space="0" w:color="FFFFFF"/>
              <w:bottom w:val="single" w:sz="1" w:space="0" w:color="CCCCCC"/>
              <w:right w:val="none" w:sz="0" w:space="0" w:color="FFFFFF"/>
            </w:tcBorders>
            <w:shd w:val="clear" w:color="auto" w:fill="1F3864"/>
            <w:tcMar>
              <w:top w:w="160" w:type="dxa"/>
              <w:left w:w="220" w:type="dxa"/>
              <w:bottom w:w="160" w:type="dxa"/>
              <w:right w:w="220" w:type="dxa"/>
            </w:tcMar>
          </w:tcPr>
          <w:p w14:paraId="5B786003" w14:textId="77777777" w:rsidR="007E16BE" w:rsidRDefault="000A5A0A">
            <w:r>
              <w:rPr>
                <w:b/>
                <w:bCs/>
                <w:color w:val="AEC6E8"/>
              </w:rPr>
              <w:lastRenderedPageBreak/>
              <w:t xml:space="preserve">SECTION </w:t>
            </w:r>
            <w:proofErr w:type="gramStart"/>
            <w:r>
              <w:rPr>
                <w:b/>
                <w:bCs/>
                <w:color w:val="AEC6E8"/>
              </w:rPr>
              <w:t xml:space="preserve">4  </w:t>
            </w:r>
            <w:r>
              <w:rPr>
                <w:b/>
                <w:bCs/>
                <w:color w:val="FFFFFF"/>
                <w:sz w:val="26"/>
                <w:szCs w:val="26"/>
              </w:rPr>
              <w:t>POLICY</w:t>
            </w:r>
            <w:proofErr w:type="gramEnd"/>
            <w:r>
              <w:rPr>
                <w:b/>
                <w:bCs/>
                <w:color w:val="FFFFFF"/>
                <w:sz w:val="26"/>
                <w:szCs w:val="26"/>
              </w:rPr>
              <w:t xml:space="preserve"> OBJECTIONS AND ANALYTICAL RESPONSES</w:t>
            </w:r>
          </w:p>
        </w:tc>
      </w:tr>
    </w:tbl>
    <w:p w14:paraId="3879DA97" w14:textId="77777777" w:rsidR="007E16BE" w:rsidRDefault="007E16BE">
      <w:pPr>
        <w:spacing w:after="80"/>
      </w:pPr>
    </w:p>
    <w:p w14:paraId="35C3ADD2" w14:textId="77777777" w:rsidR="007E16BE" w:rsidRDefault="000A5A0A">
      <w:pPr>
        <w:spacing w:before="60" w:after="120"/>
      </w:pPr>
      <w:r>
        <w:rPr>
          <w:color w:val="222222"/>
        </w:rPr>
        <w:t>A rigorous policy platform engages directly with its strongest critics. The following section addresses the five most substantive analytical objections to this platform's proposals, providing responses grounded in available evidence and legislative precedent.</w:t>
      </w:r>
    </w:p>
    <w:p w14:paraId="2EF01866" w14:textId="77777777" w:rsidR="007E16BE" w:rsidRDefault="007E16BE">
      <w:pPr>
        <w:spacing w:after="80"/>
      </w:pPr>
    </w:p>
    <w:p w14:paraId="4BE4C2FE" w14:textId="77777777" w:rsidR="007E16BE" w:rsidRDefault="000A5A0A">
      <w:pPr>
        <w:pStyle w:val="Heading2"/>
      </w:pPr>
      <w:r>
        <w:t>Objection 1: Minimum Compliance Without Functional Access</w:t>
      </w:r>
    </w:p>
    <w:p w14:paraId="22195E1F" w14:textId="77777777" w:rsidR="007E16BE" w:rsidRDefault="000A5A0A">
      <w:pPr>
        <w:pStyle w:val="Heading3"/>
      </w:pPr>
      <w:r>
        <w:t>The Objection</w:t>
      </w:r>
    </w:p>
    <w:p w14:paraId="423C888E" w14:textId="413B3388" w:rsidR="007E16BE" w:rsidRDefault="000A5A0A">
      <w:pPr>
        <w:spacing w:before="60" w:after="120"/>
      </w:pPr>
      <w:r>
        <w:rPr>
          <w:color w:val="222222"/>
        </w:rPr>
        <w:t>Insurers operating under a coverage floor may achieve technical compliance while rendering coverage functionally inaccessible through narrow provider networks, maximum permissible deductibles, and systematic prior authorization requirements producing plans that satisfy the letter of the floor while defeating its purpose.</w:t>
      </w:r>
    </w:p>
    <w:p w14:paraId="274F7964" w14:textId="77777777" w:rsidR="007E16BE" w:rsidRDefault="000A5A0A">
      <w:pPr>
        <w:pStyle w:val="Heading3"/>
      </w:pPr>
      <w:r>
        <w:t>The Response</w:t>
      </w:r>
    </w:p>
    <w:p w14:paraId="2EF0C7F2" w14:textId="77777777" w:rsidR="007E16BE" w:rsidRDefault="000A5A0A">
      <w:pPr>
        <w:spacing w:before="60" w:after="120"/>
      </w:pPr>
      <w:r>
        <w:rPr>
          <w:color w:val="222222"/>
        </w:rPr>
        <w:t>This objection identifies a genuine implementation risk that the legislative design of the floor must directly address. The coverage floor must specify operational access standards, not merely benefit categories. Mandatory elements must include maximum appointment scheduling intervals for in-network specialist care, defined restrictions on prior authorization requirements for clinically urgent services, a federal coverage dispute appeals process with binding resolution timelines, and network adequacy standards calibrated to the geographic and demographic characteristics of the relevant service area. A coverage floor defined exclusively by service categories is insufficient; a floor that also specifies access standards substantially narrows the space available for technical compliance without functional performance.</w:t>
      </w:r>
    </w:p>
    <w:p w14:paraId="663367DA" w14:textId="77777777" w:rsidR="007E16BE" w:rsidRDefault="007E16BE">
      <w:pPr>
        <w:spacing w:after="80"/>
      </w:pPr>
    </w:p>
    <w:p w14:paraId="5D240756" w14:textId="77777777" w:rsidR="007E16BE" w:rsidRDefault="000A5A0A">
      <w:pPr>
        <w:pStyle w:val="Heading2"/>
      </w:pPr>
      <w:r>
        <w:t>Objection 2: PCCP Fiscal Sustainability</w:t>
      </w:r>
    </w:p>
    <w:p w14:paraId="4A3A52B9" w14:textId="77777777" w:rsidR="007E16BE" w:rsidRDefault="000A5A0A">
      <w:pPr>
        <w:pStyle w:val="Heading3"/>
      </w:pPr>
      <w:r>
        <w:t>The Objection</w:t>
      </w:r>
    </w:p>
    <w:p w14:paraId="3A844CF0" w14:textId="77777777" w:rsidR="007E16BE" w:rsidRDefault="000A5A0A">
      <w:pPr>
        <w:spacing w:before="60" w:after="120"/>
      </w:pPr>
      <w:r>
        <w:rPr>
          <w:color w:val="222222"/>
        </w:rPr>
        <w:t>Transferring the cost of insuring pre-existing conditions from the private market to a federal program represents a significant new government expenditure commitment, potentially of a magnitude that cannot be sustained without adding to the federal deficit.</w:t>
      </w:r>
    </w:p>
    <w:p w14:paraId="008862D7" w14:textId="77777777" w:rsidR="007E16BE" w:rsidRDefault="000A5A0A">
      <w:pPr>
        <w:pStyle w:val="Heading3"/>
      </w:pPr>
      <w:r>
        <w:t>The Response</w:t>
      </w:r>
    </w:p>
    <w:p w14:paraId="0B4488CF" w14:textId="0211C61E" w:rsidR="007E16BE" w:rsidRDefault="000A5A0A">
      <w:pPr>
        <w:spacing w:before="60" w:after="120"/>
      </w:pPr>
      <w:r>
        <w:rPr>
          <w:color w:val="222222"/>
        </w:rPr>
        <w:t>The fiscal framing of this objection misidentifies the relevant comparison. The costs associated with insuring individuals with serious pre-existing conditions are not presently absent from the system; they are presently distributed across the most expensive, least efficient cost-generating mechanisms available emergency department treatment of unmanaged chronic conditions, late-stage disease intervention, medical bankruptcy and associated system costs, and Medicaid enrollment of individuals who have exhausted private resources. The PCCP converts reactive, high-unit-cost expenditure into proactive, planned, lower-unit-cost care. The dedicated payroll tax and insurer risk-adjustment assessment provide a revenue base that does not draw on general appropriations. The actuarial improvement in private market risk pools, combined with the reduction in high-cost crisis care utilization, produces offsetting savings that improve the net fiscal position relative to the status quo baseline.</w:t>
      </w:r>
    </w:p>
    <w:p w14:paraId="5F41113D" w14:textId="77777777" w:rsidR="007E16BE" w:rsidRDefault="007E16BE">
      <w:pPr>
        <w:spacing w:after="80"/>
      </w:pPr>
    </w:p>
    <w:p w14:paraId="5E3F44A9" w14:textId="77777777" w:rsidR="007E16BE" w:rsidRDefault="000A5A0A">
      <w:pPr>
        <w:pStyle w:val="Heading2"/>
      </w:pPr>
      <w:r>
        <w:lastRenderedPageBreak/>
        <w:t>Objection 3: Clinical Attribution Complexity</w:t>
      </w:r>
    </w:p>
    <w:p w14:paraId="3C39F46A" w14:textId="77777777" w:rsidR="007E16BE" w:rsidRDefault="000A5A0A">
      <w:pPr>
        <w:pStyle w:val="Heading3"/>
      </w:pPr>
      <w:r>
        <w:t>The Objection</w:t>
      </w:r>
    </w:p>
    <w:p w14:paraId="16626B5D" w14:textId="2DAF0608" w:rsidR="007E16BE" w:rsidRDefault="000A5A0A">
      <w:pPr>
        <w:spacing w:before="60" w:after="120"/>
      </w:pPr>
      <w:r>
        <w:rPr>
          <w:color w:val="222222"/>
        </w:rPr>
        <w:t>Adjudicating whether a given claim</w:t>
      </w:r>
      <w:r w:rsidR="006C31CC">
        <w:rPr>
          <w:color w:val="222222"/>
        </w:rPr>
        <w:t>,</w:t>
      </w:r>
      <w:r>
        <w:rPr>
          <w:color w:val="222222"/>
        </w:rPr>
        <w:t xml:space="preserve"> such as an acute cardiac event in a patient with pre-existing diabetes</w:t>
      </w:r>
      <w:r w:rsidR="00137AF7">
        <w:rPr>
          <w:color w:val="222222"/>
        </w:rPr>
        <w:t xml:space="preserve">, </w:t>
      </w:r>
      <w:r>
        <w:rPr>
          <w:color w:val="222222"/>
        </w:rPr>
        <w:t>falls within the PCCP carve-out or the private plan's coverage obligation will generate administrative disputes of sufficient volume and complexity to materially impair program functionality.</w:t>
      </w:r>
    </w:p>
    <w:p w14:paraId="58BD94FE" w14:textId="77777777" w:rsidR="007E16BE" w:rsidRDefault="000A5A0A">
      <w:pPr>
        <w:pStyle w:val="Heading3"/>
      </w:pPr>
      <w:r>
        <w:t>The Response</w:t>
      </w:r>
    </w:p>
    <w:p w14:paraId="7C09B5AD" w14:textId="77777777" w:rsidR="007E16BE" w:rsidRDefault="000A5A0A">
      <w:pPr>
        <w:spacing w:before="60" w:after="120"/>
      </w:pPr>
      <w:r>
        <w:rPr>
          <w:color w:val="222222"/>
        </w:rPr>
        <w:t>Clinical attribution determinations are not a novel administrative challenge. Workers' compensation programs routinely adjudicate whether specific conditions are occupationally caused or pre-existing. Medicare secondary payer rules require determinations about coverage responsibility across multiple payers. Disability adjudication programs apply clinical attribution standards daily. The medical community has well-developed methodologies for these determinations. The PCCP requires HHS to formalize these existing clinical practices into published attribution standards, developed in consultation with the relevant medical specialty societies, and to establish a fast-track independent clinical review process for disputed attributions with defined resolution timelines. The administrative cost of maintaining these standards is a predictable program expense, not an intractable problem.</w:t>
      </w:r>
    </w:p>
    <w:p w14:paraId="1B8BB326" w14:textId="77777777" w:rsidR="007E16BE" w:rsidRDefault="007E16BE">
      <w:pPr>
        <w:spacing w:after="80"/>
      </w:pPr>
    </w:p>
    <w:p w14:paraId="596471AD" w14:textId="77777777" w:rsidR="007E16BE" w:rsidRDefault="000A5A0A">
      <w:pPr>
        <w:pStyle w:val="Heading2"/>
      </w:pPr>
      <w:r>
        <w:t>Objection 4: Program Stigmatization</w:t>
      </w:r>
    </w:p>
    <w:p w14:paraId="7D69CE83" w14:textId="77777777" w:rsidR="007E16BE" w:rsidRDefault="000A5A0A">
      <w:pPr>
        <w:pStyle w:val="Heading3"/>
      </w:pPr>
      <w:r>
        <w:t>The Objection</w:t>
      </w:r>
    </w:p>
    <w:p w14:paraId="5F248188" w14:textId="77777777" w:rsidR="007E16BE" w:rsidRDefault="000A5A0A">
      <w:pPr>
        <w:spacing w:before="60" w:after="120"/>
      </w:pPr>
      <w:r>
        <w:rPr>
          <w:color w:val="222222"/>
        </w:rPr>
        <w:t>Enrollment in a federally administered program for pre-existing conditions creates a separate classification for affected individuals that may carry stigma and produce differential treatment in clinical or administrative contexts.</w:t>
      </w:r>
    </w:p>
    <w:p w14:paraId="168A27AF" w14:textId="77777777" w:rsidR="007E16BE" w:rsidRDefault="000A5A0A">
      <w:pPr>
        <w:pStyle w:val="Heading3"/>
      </w:pPr>
      <w:r>
        <w:t>The Response</w:t>
      </w:r>
    </w:p>
    <w:p w14:paraId="4D211FEB" w14:textId="623B4E75" w:rsidR="007E16BE" w:rsidRDefault="000A5A0A">
      <w:pPr>
        <w:spacing w:before="60" w:after="120"/>
      </w:pPr>
      <w:r>
        <w:rPr>
          <w:color w:val="222222"/>
        </w:rPr>
        <w:t xml:space="preserve">The current system produces the most consequential form of differential treatment available: individuals with pre-existing conditions are either priced out of coverage or enrolled in plans with structurally inadequate coverage for their conditions. The PCCP eliminates this differential without creating patient-facing classification distinctions. Enrolled individuals carry standard private insurance cards, access care through the same provider networks as non-enrolled </w:t>
      </w:r>
      <w:proofErr w:type="gramStart"/>
      <w:r>
        <w:rPr>
          <w:color w:val="222222"/>
        </w:rPr>
        <w:t>individuals, and</w:t>
      </w:r>
      <w:proofErr w:type="gramEnd"/>
      <w:r>
        <w:rPr>
          <w:color w:val="222222"/>
        </w:rPr>
        <w:t xml:space="preserve"> receive treatment under equivalent clinical protocols. The only operational distinction is in the payment routing for treatment of specific conditions</w:t>
      </w:r>
      <w:r w:rsidR="006C31CC">
        <w:rPr>
          <w:color w:val="222222"/>
        </w:rPr>
        <w:t xml:space="preserve">, </w:t>
      </w:r>
      <w:r>
        <w:rPr>
          <w:color w:val="222222"/>
        </w:rPr>
        <w:t>a back-office administrative function invisible to the patient and to the treating clinician. The individual is not classified differently in any clinical, administrative, or insurance context visible to the patient.</w:t>
      </w:r>
    </w:p>
    <w:p w14:paraId="0AD24ED2" w14:textId="77777777" w:rsidR="007E16BE" w:rsidRDefault="007E16BE">
      <w:pPr>
        <w:spacing w:after="80"/>
      </w:pPr>
    </w:p>
    <w:p w14:paraId="4126769A" w14:textId="77777777" w:rsidR="007E16BE" w:rsidRDefault="000A5A0A">
      <w:pPr>
        <w:pStyle w:val="Heading2"/>
      </w:pPr>
      <w:r>
        <w:t>Objection 5: Characterization as Government Expansion</w:t>
      </w:r>
    </w:p>
    <w:p w14:paraId="7BA0C124" w14:textId="77777777" w:rsidR="007E16BE" w:rsidRDefault="000A5A0A">
      <w:pPr>
        <w:pStyle w:val="Heading3"/>
      </w:pPr>
      <w:r>
        <w:t>The Objection</w:t>
      </w:r>
    </w:p>
    <w:p w14:paraId="611E820E" w14:textId="77777777" w:rsidR="007E16BE" w:rsidRDefault="000A5A0A">
      <w:pPr>
        <w:spacing w:before="60" w:after="120"/>
      </w:pPr>
      <w:r>
        <w:rPr>
          <w:color w:val="222222"/>
        </w:rPr>
        <w:t>Establishing a federal program to cover pre-existing conditions, regardless of its scope, constitutes an expansion of government's role in healthcare that is inconsistent with a market-oriented reform agenda.</w:t>
      </w:r>
    </w:p>
    <w:p w14:paraId="6A703637" w14:textId="77777777" w:rsidR="007E16BE" w:rsidRDefault="000A5A0A">
      <w:pPr>
        <w:pStyle w:val="Heading3"/>
      </w:pPr>
      <w:r>
        <w:t>The Response</w:t>
      </w:r>
    </w:p>
    <w:p w14:paraId="6DDCC1BB" w14:textId="7350B1C2" w:rsidR="007E16BE" w:rsidRDefault="000A5A0A">
      <w:pPr>
        <w:spacing w:before="60" w:after="120"/>
      </w:pPr>
      <w:r>
        <w:rPr>
          <w:color w:val="222222"/>
        </w:rPr>
        <w:lastRenderedPageBreak/>
        <w:t>The PCCP is a narrowly scoped federal intervention at precisely the point where market mechanisms cannot produce equitable outcomes. Free markets allocate goods and services efficiently in contexts where consumers can make prospective decisions, prices are observable, and the relevant risks are manageable through diversification. None of these conditions applies to insurance for conditions that have already been diagnosed. The PCCP does not displace market mechanisms in any context where they function adequately. It addresses a defined market failure the actuarial pricing of uninsurable risk with a precisely calibrated public instrument. Every other element of this platform, including premiums, plan design, provider network construction, and consumer choice, remains within the private market. A principled commitment to market mechanisms requires recognizing the boundaries of their appropriate application, not deploying them in contexts where they structurally cannot deliver equitable outcomes.</w:t>
      </w:r>
    </w:p>
    <w:p w14:paraId="49011666" w14:textId="77777777" w:rsidR="007E16BE" w:rsidRDefault="000A5A0A">
      <w:r>
        <w:br w:type="page"/>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16BE" w14:paraId="2A0788D0" w14:textId="77777777">
        <w:tc>
          <w:tcPr>
            <w:tcW w:w="9360" w:type="dxa"/>
            <w:tcBorders>
              <w:top w:val="single" w:sz="1" w:space="0" w:color="CCCCCC"/>
              <w:left w:val="none" w:sz="0" w:space="0" w:color="FFFFFF"/>
              <w:bottom w:val="single" w:sz="1" w:space="0" w:color="CCCCCC"/>
              <w:right w:val="none" w:sz="0" w:space="0" w:color="FFFFFF"/>
            </w:tcBorders>
            <w:shd w:val="clear" w:color="auto" w:fill="1F3864"/>
            <w:tcMar>
              <w:top w:w="160" w:type="dxa"/>
              <w:left w:w="220" w:type="dxa"/>
              <w:bottom w:w="160" w:type="dxa"/>
              <w:right w:w="220" w:type="dxa"/>
            </w:tcMar>
          </w:tcPr>
          <w:p w14:paraId="49C51D72" w14:textId="77777777" w:rsidR="007E16BE" w:rsidRDefault="000A5A0A">
            <w:r>
              <w:rPr>
                <w:b/>
                <w:bCs/>
                <w:color w:val="AEC6E8"/>
              </w:rPr>
              <w:lastRenderedPageBreak/>
              <w:t xml:space="preserve">SECTION </w:t>
            </w:r>
            <w:proofErr w:type="gramStart"/>
            <w:r>
              <w:rPr>
                <w:b/>
                <w:bCs/>
                <w:color w:val="AEC6E8"/>
              </w:rPr>
              <w:t xml:space="preserve">5  </w:t>
            </w:r>
            <w:r>
              <w:rPr>
                <w:b/>
                <w:bCs/>
                <w:color w:val="FFFFFF"/>
                <w:sz w:val="26"/>
                <w:szCs w:val="26"/>
              </w:rPr>
              <w:t>LEGISLATIVE</w:t>
            </w:r>
            <w:proofErr w:type="gramEnd"/>
            <w:r>
              <w:rPr>
                <w:b/>
                <w:bCs/>
                <w:color w:val="FFFFFF"/>
                <w:sz w:val="26"/>
                <w:szCs w:val="26"/>
              </w:rPr>
              <w:t xml:space="preserve"> AGENDA</w:t>
            </w:r>
          </w:p>
        </w:tc>
      </w:tr>
    </w:tbl>
    <w:p w14:paraId="7E186AB3" w14:textId="77777777" w:rsidR="007E16BE" w:rsidRDefault="007E16BE">
      <w:pPr>
        <w:spacing w:after="80"/>
      </w:pPr>
    </w:p>
    <w:p w14:paraId="09C25EC0" w14:textId="77777777" w:rsidR="007E16BE" w:rsidRDefault="000A5A0A">
      <w:pPr>
        <w:spacing w:before="60" w:after="120"/>
      </w:pPr>
      <w:r>
        <w:rPr>
          <w:color w:val="222222"/>
        </w:rPr>
        <w:t>The credibility of a policy platform depends on its conversion into specific, accountable legislative commitments. The following agenda specifies the legislation to be introduced, the committees through which each bill will be advanced, and the coalition-building strategy appropriate to each proposal's political dynamics. The timeline is organized by realistic legislative feasibility given the coalition requirements and committee jurisdictions involved.</w:t>
      </w:r>
    </w:p>
    <w:p w14:paraId="00B999AF" w14:textId="77777777" w:rsidR="007E16BE" w:rsidRDefault="007E16BE">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16BE" w14:paraId="000BC782" w14:textId="77777777">
        <w:tc>
          <w:tcPr>
            <w:tcW w:w="9360" w:type="dxa"/>
            <w:tcBorders>
              <w:top w:val="single" w:sz="1" w:space="0" w:color="CCCCCC"/>
              <w:left w:val="none" w:sz="0" w:space="0" w:color="FFFFFF"/>
              <w:bottom w:val="single" w:sz="1" w:space="0" w:color="CCCCCC"/>
              <w:right w:val="none" w:sz="0" w:space="0" w:color="FFFFFF"/>
            </w:tcBorders>
            <w:shd w:val="clear" w:color="auto" w:fill="1F3864"/>
            <w:tcMar>
              <w:top w:w="160" w:type="dxa"/>
              <w:left w:w="220" w:type="dxa"/>
              <w:bottom w:w="160" w:type="dxa"/>
              <w:right w:w="220" w:type="dxa"/>
            </w:tcMar>
          </w:tcPr>
          <w:p w14:paraId="6B498F4F" w14:textId="77777777" w:rsidR="007E16BE" w:rsidRDefault="000A5A0A">
            <w:r>
              <w:rPr>
                <w:b/>
                <w:bCs/>
                <w:color w:val="FFFFFF"/>
                <w:sz w:val="26"/>
                <w:szCs w:val="26"/>
              </w:rPr>
              <w:t>YEAR ONE LEGISLATIVE PRIORITIES</w:t>
            </w:r>
          </w:p>
        </w:tc>
      </w:tr>
    </w:tbl>
    <w:p w14:paraId="5EF18431" w14:textId="77777777" w:rsidR="007E16BE" w:rsidRDefault="007E16BE">
      <w:pPr>
        <w:spacing w:after="80"/>
      </w:pPr>
    </w:p>
    <w:p w14:paraId="72692DF5" w14:textId="77777777" w:rsidR="007E16BE" w:rsidRDefault="000A5A0A">
      <w:pPr>
        <w:pStyle w:val="Heading2"/>
      </w:pPr>
      <w:r>
        <w:t>The American Health Market Competition Act</w:t>
      </w:r>
    </w:p>
    <w:p w14:paraId="4814F588" w14:textId="77777777" w:rsidR="007E16BE" w:rsidRDefault="000A5A0A">
      <w:pPr>
        <w:spacing w:before="60" w:after="120"/>
      </w:pPr>
      <w:r>
        <w:rPr>
          <w:color w:val="222222"/>
        </w:rPr>
        <w:t>Interstate insurance market competition legislation incorporating the federal coverage floor described in Section 2 of this platform. This legislation will be introduced within the first 60 days of the congressional term. The bill will be developed with bipartisan co-sponsors, as the combination of market expansion and consumer protection provisions has demonstrated cross-party appeal when framed on the merits rather than as a partisan instrument. Primary committee jurisdiction is anticipated in the House Committee on Energy and Commerce, with potential concurrent referral to the Committee on Ways and Means for the tax-related coverage floor provisions.</w:t>
      </w:r>
    </w:p>
    <w:p w14:paraId="671C410A" w14:textId="77777777" w:rsidR="007E16BE" w:rsidRDefault="007E16BE">
      <w:pPr>
        <w:spacing w:after="80"/>
      </w:pPr>
    </w:p>
    <w:p w14:paraId="41F80648" w14:textId="77777777" w:rsidR="007E16BE" w:rsidRDefault="000A5A0A">
      <w:pPr>
        <w:pStyle w:val="Heading2"/>
      </w:pPr>
      <w:r>
        <w:t>The HSA Modernization and Expansion Act</w:t>
      </w:r>
    </w:p>
    <w:p w14:paraId="6315D657" w14:textId="77777777" w:rsidR="007E16BE" w:rsidRDefault="000A5A0A">
      <w:pPr>
        <w:spacing w:before="60" w:after="120"/>
      </w:pPr>
      <w:r>
        <w:rPr>
          <w:color w:val="222222"/>
        </w:rPr>
        <w:t>Legislation codifying the Health Savings Account reforms described in Section 1: elimination of the high-deductible plan enrollment prerequisite, expansion of annual contribution limits to $12,000 (individual) and $24,000 (family) with inflation indexing, conversion to permanent rollover treatment, HSA authorization for premium expenditures, and definitive classification of Direct Primary Care membership fees as qualifying HSA expenses. This legislation will be developed through the Committee on Ways and Means, with outreach to members with established records on tax-advantaged savings vehicle policy.</w:t>
      </w:r>
    </w:p>
    <w:p w14:paraId="57CCADCE" w14:textId="77777777" w:rsidR="007E16BE" w:rsidRDefault="007E16BE">
      <w:pPr>
        <w:spacing w:after="80"/>
      </w:pPr>
    </w:p>
    <w:p w14:paraId="6234AEBF" w14:textId="77777777" w:rsidR="007E16BE" w:rsidRDefault="000A5A0A">
      <w:pPr>
        <w:pStyle w:val="Heading2"/>
      </w:pPr>
      <w:r>
        <w:t>The No Surprises Act Enforcement Strengthening Act</w:t>
      </w:r>
    </w:p>
    <w:p w14:paraId="1A20B958" w14:textId="77777777" w:rsidR="007E16BE" w:rsidRDefault="000A5A0A">
      <w:pPr>
        <w:spacing w:before="60" w:after="120"/>
      </w:pPr>
      <w:r>
        <w:rPr>
          <w:color w:val="222222"/>
        </w:rPr>
        <w:t>Legislation amending the No Surprises Act to impose civil monetary penalties of sufficient magnitude to create genuine deterrence, establishing an independent federal enforcement mechanism not contingent on state insurance commissioner action, and explicitly extending the surprise billing prohibition to ground ambulance services. This bill is narrowly scoped with broad constituent support across party lines and will be pursued with bipartisan co-sponsorship from the outset.</w:t>
      </w:r>
    </w:p>
    <w:p w14:paraId="74732448" w14:textId="77777777" w:rsidR="007E16BE" w:rsidRDefault="007E16BE">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16BE" w14:paraId="43C2431B" w14:textId="77777777">
        <w:tc>
          <w:tcPr>
            <w:tcW w:w="9360" w:type="dxa"/>
            <w:tcBorders>
              <w:top w:val="single" w:sz="1" w:space="0" w:color="CCCCCC"/>
              <w:left w:val="none" w:sz="0" w:space="0" w:color="FFFFFF"/>
              <w:bottom w:val="single" w:sz="1" w:space="0" w:color="CCCCCC"/>
              <w:right w:val="none" w:sz="0" w:space="0" w:color="FFFFFF"/>
            </w:tcBorders>
            <w:shd w:val="clear" w:color="auto" w:fill="1F3864"/>
            <w:tcMar>
              <w:top w:w="160" w:type="dxa"/>
              <w:left w:w="220" w:type="dxa"/>
              <w:bottom w:w="160" w:type="dxa"/>
              <w:right w:w="220" w:type="dxa"/>
            </w:tcMar>
          </w:tcPr>
          <w:p w14:paraId="0043CAA8" w14:textId="77777777" w:rsidR="007E16BE" w:rsidRDefault="000A5A0A">
            <w:r>
              <w:rPr>
                <w:b/>
                <w:bCs/>
                <w:color w:val="FFFFFF"/>
                <w:sz w:val="26"/>
                <w:szCs w:val="26"/>
              </w:rPr>
              <w:t>YEAR TWO LEGISLATIVE PRIORITIES</w:t>
            </w:r>
          </w:p>
        </w:tc>
      </w:tr>
    </w:tbl>
    <w:p w14:paraId="0E9545DE" w14:textId="77777777" w:rsidR="007E16BE" w:rsidRDefault="007E16BE">
      <w:pPr>
        <w:spacing w:after="80"/>
      </w:pPr>
    </w:p>
    <w:p w14:paraId="0FA61C75" w14:textId="77777777" w:rsidR="007E16BE" w:rsidRDefault="000A5A0A">
      <w:pPr>
        <w:pStyle w:val="Heading2"/>
      </w:pPr>
      <w:r>
        <w:lastRenderedPageBreak/>
        <w:t>The Pre-Existing Condition Coverage Program Act</w:t>
      </w:r>
    </w:p>
    <w:p w14:paraId="729E80EE" w14:textId="77777777" w:rsidR="007E16BE" w:rsidRDefault="000A5A0A">
      <w:pPr>
        <w:spacing w:before="60" w:after="120"/>
      </w:pPr>
      <w:r>
        <w:rPr>
          <w:color w:val="222222"/>
        </w:rPr>
        <w:t>The comprehensive PCCP legislation, encompassing the qualifying condition registry, the enrollment mechanism, the payment infrastructure utilizing Medicare's existing administrative systems, the dedicated payroll tax and insurer risk-adjustment funding structure, the HHS-administered clinical attribution standards, and the lifetime enrollment guarantee. This legislation requires the most extensive pre-introduction preparation of any bill in this platform. Year one will be devoted to committee relationship development, independent research record construction, CBO scoring preparation, and coalition development among co-sponsors in both chambers. Target introduction in the second quarter of the second congressional year, with committee hearing as the year-two objective.</w:t>
      </w:r>
    </w:p>
    <w:p w14:paraId="45C50ECA" w14:textId="77777777" w:rsidR="007E16BE" w:rsidRDefault="007E16BE">
      <w:pPr>
        <w:spacing w:after="80"/>
      </w:pPr>
    </w:p>
    <w:p w14:paraId="33D53D9D" w14:textId="77777777" w:rsidR="007E16BE" w:rsidRDefault="000A5A0A">
      <w:pPr>
        <w:pStyle w:val="Heading2"/>
      </w:pPr>
      <w:r>
        <w:t>The GA-13 Direct Primary Care Access Act</w:t>
      </w:r>
    </w:p>
    <w:p w14:paraId="16A98EE6" w14:textId="77777777" w:rsidR="007E16BE" w:rsidRDefault="000A5A0A">
      <w:pPr>
        <w:spacing w:before="60" w:after="120"/>
      </w:pPr>
      <w:r>
        <w:rPr>
          <w:color w:val="222222"/>
        </w:rPr>
        <w:t>Legislation establishing HHS community health grant funding designated for Direct Primary Care practice development in Newton County and eastern Rockdale, paired with a federal tax credit for Direct Primary Care membership fees paid by self-employed individuals and independent contractors. This bill is of narrow scope and may be viable as an amendment to a broader healthcare or appropriations vehicle in the second session.</w:t>
      </w:r>
    </w:p>
    <w:p w14:paraId="01DBBF63" w14:textId="77777777" w:rsidR="007E16BE" w:rsidRDefault="007E16BE">
      <w:pPr>
        <w:spacing w:after="80"/>
      </w:pPr>
    </w:p>
    <w:p w14:paraId="6649E46C" w14:textId="77777777" w:rsidR="007E16BE" w:rsidRDefault="000A5A0A">
      <w:pPr>
        <w:pStyle w:val="Heading2"/>
      </w:pPr>
      <w:r>
        <w:t>The Association Health Plan Modernization Act</w:t>
      </w:r>
    </w:p>
    <w:p w14:paraId="3BCCEA90" w14:textId="77777777" w:rsidR="007E16BE" w:rsidRDefault="000A5A0A">
      <w:pPr>
        <w:spacing w:before="60" w:after="120"/>
      </w:pPr>
      <w:r>
        <w:rPr>
          <w:color w:val="222222"/>
        </w:rPr>
        <w:t>Legislation expanding federal authorization for association health plans with explicit coverage floor compliance requirements, permitting small businesses, trade associations, independent contractors, and self-employed individuals across GA-13 to obtain group purchasing terms while ensuring that association structures do not function as vehicles for offering coverage below the minimum standard.</w:t>
      </w:r>
    </w:p>
    <w:p w14:paraId="3F4F734D" w14:textId="77777777" w:rsidR="007E16BE" w:rsidRDefault="007E16BE">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E16BE" w14:paraId="38A6C5E7" w14:textId="77777777">
        <w:tc>
          <w:tcPr>
            <w:tcW w:w="9360" w:type="dxa"/>
            <w:tcBorders>
              <w:top w:val="single" w:sz="1" w:space="0" w:color="CCCCCC"/>
              <w:left w:val="none" w:sz="0" w:space="0" w:color="FFFFFF"/>
              <w:bottom w:val="single" w:sz="1" w:space="0" w:color="CCCCCC"/>
              <w:right w:val="none" w:sz="0" w:space="0" w:color="FFFFFF"/>
            </w:tcBorders>
            <w:shd w:val="clear" w:color="auto" w:fill="1F3864"/>
            <w:tcMar>
              <w:top w:w="160" w:type="dxa"/>
              <w:left w:w="220" w:type="dxa"/>
              <w:bottom w:w="160" w:type="dxa"/>
              <w:right w:w="220" w:type="dxa"/>
            </w:tcMar>
          </w:tcPr>
          <w:p w14:paraId="66071468" w14:textId="77777777" w:rsidR="007E16BE" w:rsidRDefault="000A5A0A">
            <w:r>
              <w:rPr>
                <w:b/>
                <w:bCs/>
                <w:color w:val="FFFFFF"/>
                <w:sz w:val="26"/>
                <w:szCs w:val="26"/>
              </w:rPr>
              <w:t>LEGISLATIVE POSITIONS THIS PLATFORM WILL NOT SUPPORT</w:t>
            </w:r>
          </w:p>
        </w:tc>
      </w:tr>
    </w:tbl>
    <w:p w14:paraId="71030CE0" w14:textId="77777777" w:rsidR="007E16BE" w:rsidRDefault="007E16BE">
      <w:pPr>
        <w:spacing w:after="80"/>
      </w:pPr>
    </w:p>
    <w:p w14:paraId="1D11E50A" w14:textId="77777777" w:rsidR="007E16BE" w:rsidRDefault="000A5A0A">
      <w:pPr>
        <w:spacing w:before="60" w:after="120"/>
      </w:pPr>
      <w:r>
        <w:rPr>
          <w:color w:val="222222"/>
        </w:rPr>
        <w:t>The following positions are stated explicitly for purposes of constituent accountability:</w:t>
      </w:r>
    </w:p>
    <w:p w14:paraId="528C6741" w14:textId="77777777" w:rsidR="007E16BE" w:rsidRDefault="000A5A0A">
      <w:pPr>
        <w:numPr>
          <w:ilvl w:val="0"/>
          <w:numId w:val="2"/>
        </w:numPr>
        <w:spacing w:before="50" w:after="60"/>
      </w:pPr>
      <w:r>
        <w:rPr>
          <w:color w:val="222222"/>
        </w:rPr>
        <w:t>Any legislation that eliminates, weakens, or creates exceptions to pre-existing condition coverage protections in any form</w:t>
      </w:r>
    </w:p>
    <w:p w14:paraId="6F621269" w14:textId="77777777" w:rsidR="007E16BE" w:rsidRDefault="000A5A0A">
      <w:pPr>
        <w:numPr>
          <w:ilvl w:val="0"/>
          <w:numId w:val="2"/>
        </w:numPr>
        <w:spacing w:before="50" w:after="60"/>
      </w:pPr>
      <w:r>
        <w:rPr>
          <w:color w:val="222222"/>
        </w:rPr>
        <w:t>Any legislation permitting the reinstatement of annual or lifetime benefit limits in health insurance plans</w:t>
      </w:r>
    </w:p>
    <w:p w14:paraId="20693245" w14:textId="77777777" w:rsidR="007E16BE" w:rsidRDefault="000A5A0A">
      <w:pPr>
        <w:numPr>
          <w:ilvl w:val="0"/>
          <w:numId w:val="2"/>
        </w:numPr>
        <w:spacing w:before="50" w:after="60"/>
      </w:pPr>
      <w:r>
        <w:rPr>
          <w:color w:val="222222"/>
        </w:rPr>
        <w:t>Any legislation that reduces Medicaid funding or disrupts program structure without a fully funded, operationally equivalent replacement covering the affected enrollee population</w:t>
      </w:r>
    </w:p>
    <w:p w14:paraId="7EBA38BC" w14:textId="77777777" w:rsidR="007E16BE" w:rsidRDefault="000A5A0A">
      <w:pPr>
        <w:numPr>
          <w:ilvl w:val="0"/>
          <w:numId w:val="2"/>
        </w:numPr>
        <w:spacing w:before="50" w:after="60"/>
      </w:pPr>
      <w:r>
        <w:rPr>
          <w:color w:val="222222"/>
        </w:rPr>
        <w:t>Any legislation that reduces competitive market participation through regulatory consolidation favoring incumbent insurers</w:t>
      </w:r>
    </w:p>
    <w:p w14:paraId="491F82ED" w14:textId="77777777" w:rsidR="007E16BE" w:rsidRDefault="000A5A0A">
      <w:pPr>
        <w:numPr>
          <w:ilvl w:val="0"/>
          <w:numId w:val="2"/>
        </w:numPr>
        <w:spacing w:before="50" w:after="60"/>
      </w:pPr>
      <w:r>
        <w:rPr>
          <w:color w:val="222222"/>
        </w:rPr>
        <w:t>Any legislation that increases enrollee out-of-pocket maximums without documented and corresponding reductions in plan premiums</w:t>
      </w:r>
    </w:p>
    <w:p w14:paraId="58EE96E3" w14:textId="77777777" w:rsidR="007E16BE" w:rsidRDefault="000A5A0A">
      <w:r>
        <w:br w:type="page"/>
      </w:r>
    </w:p>
    <w:p w14:paraId="541F65AB" w14:textId="77777777" w:rsidR="007E16BE" w:rsidRDefault="000A5A0A">
      <w:pPr>
        <w:pStyle w:val="Heading1"/>
        <w:pBdr>
          <w:bottom w:val="single" w:sz="8" w:space="4" w:color="2E75B6"/>
        </w:pBdr>
      </w:pPr>
      <w:r>
        <w:lastRenderedPageBreak/>
        <w:t>Conclusion</w:t>
      </w:r>
    </w:p>
    <w:p w14:paraId="538C3DD7" w14:textId="77777777" w:rsidR="007E16BE" w:rsidRDefault="000A5A0A">
      <w:pPr>
        <w:spacing w:before="60" w:after="120"/>
      </w:pPr>
      <w:r>
        <w:rPr>
          <w:color w:val="222222"/>
        </w:rPr>
        <w:t>The healthcare challenges confronting residents of Georgia's 13th Congressional District are not abstract policy questions; they manifest daily in clinical settings, in household budgets, and in the medical decisions that families are compelled to defer or forgo due to financial constraint. As a healthcare administrator with direct operational responsibility for a significant portion of the diagnostic imaging services delivered to this community, this author has observed these consequences in concrete and specific terms.</w:t>
      </w:r>
    </w:p>
    <w:p w14:paraId="462D5073" w14:textId="77777777" w:rsidR="007E16BE" w:rsidRDefault="007E16BE">
      <w:pPr>
        <w:spacing w:after="80"/>
      </w:pPr>
    </w:p>
    <w:p w14:paraId="53742278" w14:textId="77777777" w:rsidR="007E16BE" w:rsidRDefault="000A5A0A">
      <w:pPr>
        <w:spacing w:before="60" w:after="120"/>
      </w:pPr>
      <w:r>
        <w:rPr>
          <w:color w:val="222222"/>
        </w:rPr>
        <w:t>The platform presented in this document represents a considered analytical response to those conditions. It does not propose the wholesale expansion of government insurance programs. It does not propose the elimination of the consumer protections that currently prevent the worst market abuses. It proposes a structurally coherent framework in which genuine market competition, a uniform minimum standard, and a precisely targeted federal backstop operate in combination to produce outcomes better than any single element could achieve alone.</w:t>
      </w:r>
    </w:p>
    <w:p w14:paraId="295B3581" w14:textId="77777777" w:rsidR="007E16BE" w:rsidRDefault="007E16BE">
      <w:pPr>
        <w:spacing w:after="80"/>
      </w:pPr>
    </w:p>
    <w:p w14:paraId="2B205C86" w14:textId="77777777" w:rsidR="007E16BE" w:rsidRDefault="000A5A0A">
      <w:pPr>
        <w:spacing w:before="60" w:after="120"/>
      </w:pPr>
      <w:r>
        <w:rPr>
          <w:color w:val="222222"/>
        </w:rPr>
        <w:t>The work required to advance this agenda in Congress is substantial. It demands rigorous legislative drafting, sustained coalition development, the capacity to engage complex policy objections in technical detail, and the discipline to defend a nuanced position against simplification pressure from both ends of the political spectrum. These are the demands of serious legislative work, and this platform is offered in that spirit.</w:t>
      </w:r>
    </w:p>
    <w:p w14:paraId="138A3F2C" w14:textId="77777777" w:rsidR="007E16BE" w:rsidRDefault="007E16BE">
      <w:pPr>
        <w:spacing w:after="80"/>
      </w:pPr>
    </w:p>
    <w:p w14:paraId="39A64131" w14:textId="77777777" w:rsidR="007E16BE" w:rsidRDefault="000A5A0A">
      <w:pPr>
        <w:spacing w:before="60" w:after="120"/>
      </w:pPr>
      <w:r>
        <w:rPr>
          <w:color w:val="222222"/>
        </w:rPr>
        <w:t>The families of GA-13 are entitled to a representative who approaches healthcare policy with the same rigor and accountability that they bring to managing their own healthcare circumstances. This platform is this candidate's commitment to that standard.</w:t>
      </w:r>
    </w:p>
    <w:p w14:paraId="3A1FD635" w14:textId="77777777" w:rsidR="007E16BE" w:rsidRDefault="007E16BE">
      <w:pPr>
        <w:spacing w:after="80"/>
      </w:pPr>
    </w:p>
    <w:p w14:paraId="72698E2F" w14:textId="5CCB3039" w:rsidR="007E16BE" w:rsidRDefault="000A5A0A">
      <w:pPr>
        <w:spacing w:before="60" w:after="120"/>
      </w:pPr>
      <w:r>
        <w:rPr>
          <w:b/>
          <w:bCs/>
          <w:color w:val="222222"/>
        </w:rPr>
        <w:t xml:space="preserve">Jonathan Chavez, </w:t>
      </w:r>
    </w:p>
    <w:p w14:paraId="5680A698" w14:textId="77777777" w:rsidR="007E16BE" w:rsidRDefault="000A5A0A">
      <w:pPr>
        <w:spacing w:before="60" w:after="120"/>
      </w:pPr>
      <w:r>
        <w:rPr>
          <w:i/>
          <w:iCs/>
          <w:color w:val="222222"/>
        </w:rPr>
        <w:t>Candidate, Georgia's 13th Congressional District</w:t>
      </w:r>
    </w:p>
    <w:p w14:paraId="20840949" w14:textId="77777777" w:rsidR="007E16BE" w:rsidRDefault="000A5A0A">
      <w:pPr>
        <w:spacing w:before="60" w:after="120"/>
      </w:pPr>
      <w:r>
        <w:rPr>
          <w:i/>
          <w:iCs/>
          <w:color w:val="222222"/>
          <w:sz w:val="20"/>
          <w:szCs w:val="20"/>
        </w:rPr>
        <w:t>Director of Imaging, Piedmont Rockdale Hospital, Conyers, Georgia</w:t>
      </w:r>
    </w:p>
    <w:p w14:paraId="0464F6DC" w14:textId="77777777" w:rsidR="007E16BE" w:rsidRDefault="000A5A0A">
      <w:r>
        <w:br w:type="page"/>
      </w:r>
    </w:p>
    <w:p w14:paraId="305F1862" w14:textId="77777777" w:rsidR="007E16BE" w:rsidRDefault="000A5A0A">
      <w:pPr>
        <w:pStyle w:val="Heading1"/>
        <w:pBdr>
          <w:bottom w:val="single" w:sz="8" w:space="4" w:color="2E75B6"/>
        </w:pBdr>
      </w:pPr>
      <w:r>
        <w:lastRenderedPageBreak/>
        <w:t>Primary Data Sources and References</w:t>
      </w:r>
    </w:p>
    <w:p w14:paraId="4B3745DC" w14:textId="77777777" w:rsidR="007E16BE" w:rsidRDefault="000A5A0A">
      <w:pPr>
        <w:numPr>
          <w:ilvl w:val="0"/>
          <w:numId w:val="2"/>
        </w:numPr>
        <w:spacing w:before="50" w:after="60"/>
      </w:pPr>
      <w:r>
        <w:rPr>
          <w:color w:val="222222"/>
          <w:sz w:val="20"/>
          <w:szCs w:val="20"/>
        </w:rPr>
        <w:t>U.S. Census Bureau, American Community Survey 2024 1-Year and 5-Year Estimates. Retrieved from censusreporter.org.</w:t>
      </w:r>
    </w:p>
    <w:p w14:paraId="227FF618" w14:textId="77777777" w:rsidR="007E16BE" w:rsidRDefault="000A5A0A">
      <w:pPr>
        <w:numPr>
          <w:ilvl w:val="0"/>
          <w:numId w:val="2"/>
        </w:numPr>
        <w:spacing w:before="50" w:after="60"/>
      </w:pPr>
      <w:r>
        <w:rPr>
          <w:color w:val="222222"/>
          <w:sz w:val="20"/>
          <w:szCs w:val="20"/>
        </w:rPr>
        <w:t>America's Health Rankings, United Health Foundation. Georgia Uninsured Rate. ACS 2024. americashealthrankings.org.</w:t>
      </w:r>
    </w:p>
    <w:p w14:paraId="2210C326" w14:textId="77777777" w:rsidR="007E16BE" w:rsidRDefault="000A5A0A">
      <w:pPr>
        <w:numPr>
          <w:ilvl w:val="0"/>
          <w:numId w:val="2"/>
        </w:numPr>
        <w:spacing w:before="50" w:after="60"/>
      </w:pPr>
      <w:r>
        <w:rPr>
          <w:color w:val="222222"/>
          <w:sz w:val="20"/>
          <w:szCs w:val="20"/>
        </w:rPr>
        <w:t>Georgia Public Broadcasting. Georgia's Uninsured Rate Remains Higher Than National Average. September 2024.</w:t>
      </w:r>
    </w:p>
    <w:p w14:paraId="781B46C4" w14:textId="77777777" w:rsidR="007E16BE" w:rsidRDefault="000A5A0A">
      <w:pPr>
        <w:numPr>
          <w:ilvl w:val="0"/>
          <w:numId w:val="2"/>
        </w:numPr>
        <w:spacing w:before="50" w:after="60"/>
      </w:pPr>
      <w:r>
        <w:rPr>
          <w:color w:val="222222"/>
          <w:sz w:val="20"/>
          <w:szCs w:val="20"/>
        </w:rPr>
        <w:t>Internal Revenue Service. Publication 969: Health Savings Accounts and Other Tax-Favored Health Plans. 2024.</w:t>
      </w:r>
    </w:p>
    <w:p w14:paraId="4976D5B9" w14:textId="77777777" w:rsidR="007E16BE" w:rsidRDefault="000A5A0A">
      <w:pPr>
        <w:numPr>
          <w:ilvl w:val="0"/>
          <w:numId w:val="2"/>
        </w:numPr>
        <w:spacing w:before="50" w:after="60"/>
      </w:pPr>
      <w:r>
        <w:rPr>
          <w:color w:val="222222"/>
          <w:sz w:val="20"/>
          <w:szCs w:val="20"/>
        </w:rPr>
        <w:t>Kaiser Family Foundation. Employer Health Benefits Annual Survey. 2024.</w:t>
      </w:r>
    </w:p>
    <w:p w14:paraId="6EF1F218" w14:textId="77777777" w:rsidR="007E16BE" w:rsidRDefault="000A5A0A">
      <w:pPr>
        <w:numPr>
          <w:ilvl w:val="0"/>
          <w:numId w:val="2"/>
        </w:numPr>
        <w:spacing w:before="50" w:after="60"/>
      </w:pPr>
      <w:r>
        <w:rPr>
          <w:color w:val="222222"/>
          <w:sz w:val="20"/>
          <w:szCs w:val="20"/>
        </w:rPr>
        <w:t>RAND Corporation. Reference-Based Pricing Studies. 2019 and 2022.</w:t>
      </w:r>
    </w:p>
    <w:p w14:paraId="52E18565" w14:textId="77777777" w:rsidR="007E16BE" w:rsidRDefault="000A5A0A">
      <w:pPr>
        <w:numPr>
          <w:ilvl w:val="0"/>
          <w:numId w:val="2"/>
        </w:numPr>
        <w:spacing w:before="50" w:after="60"/>
      </w:pPr>
      <w:r>
        <w:rPr>
          <w:color w:val="222222"/>
          <w:sz w:val="20"/>
          <w:szCs w:val="20"/>
        </w:rPr>
        <w:t>Himmelstein, D.U., et al. Health Care Administrative Costs in the United States and Canada, 2017. Health Affairs. 2020.</w:t>
      </w:r>
    </w:p>
    <w:p w14:paraId="30C74524" w14:textId="77777777" w:rsidR="007E16BE" w:rsidRDefault="000A5A0A">
      <w:pPr>
        <w:numPr>
          <w:ilvl w:val="0"/>
          <w:numId w:val="2"/>
        </w:numPr>
        <w:spacing w:before="50" w:after="60"/>
      </w:pPr>
      <w:r>
        <w:rPr>
          <w:color w:val="222222"/>
          <w:sz w:val="20"/>
          <w:szCs w:val="20"/>
        </w:rPr>
        <w:t>Centers for Medicare and Medicaid Services. Medicare End-Stage Renal Disease Program: Historical Data and Annual Reports.</w:t>
      </w:r>
    </w:p>
    <w:p w14:paraId="67B43A8F" w14:textId="77777777" w:rsidR="007E16BE" w:rsidRDefault="000A5A0A">
      <w:pPr>
        <w:numPr>
          <w:ilvl w:val="0"/>
          <w:numId w:val="2"/>
        </w:numPr>
        <w:spacing w:before="50" w:after="60"/>
      </w:pPr>
      <w:r>
        <w:rPr>
          <w:color w:val="222222"/>
          <w:sz w:val="20"/>
          <w:szCs w:val="20"/>
        </w:rPr>
        <w:t>Bernstein, W.B. et al. Direct Primary Care: Practice Distribution and Cost Across the Nation. Journal of the American Medical Association. 2019.</w:t>
      </w:r>
    </w:p>
    <w:p w14:paraId="083780E8" w14:textId="77777777" w:rsidR="007E16BE" w:rsidRDefault="000A5A0A">
      <w:pPr>
        <w:numPr>
          <w:ilvl w:val="0"/>
          <w:numId w:val="2"/>
        </w:numPr>
        <w:spacing w:before="50" w:after="60"/>
      </w:pPr>
      <w:r>
        <w:rPr>
          <w:color w:val="222222"/>
          <w:sz w:val="20"/>
          <w:szCs w:val="20"/>
        </w:rPr>
        <w:t>Alaska Division of Insurance. 2018 Reinsurance Program: Impact Report and Premium Analysis.</w:t>
      </w:r>
    </w:p>
    <w:p w14:paraId="5458E88C" w14:textId="77777777" w:rsidR="007E16BE" w:rsidRDefault="000A5A0A">
      <w:pPr>
        <w:numPr>
          <w:ilvl w:val="0"/>
          <w:numId w:val="2"/>
        </w:numPr>
        <w:spacing w:before="50" w:after="60"/>
      </w:pPr>
      <w:r>
        <w:rPr>
          <w:color w:val="222222"/>
          <w:sz w:val="20"/>
          <w:szCs w:val="20"/>
        </w:rPr>
        <w:t>Georgia Budget and Policy Institute. Medicaid Coverage Gap Analysis. 2024.</w:t>
      </w:r>
    </w:p>
    <w:p w14:paraId="71DE1966" w14:textId="77777777" w:rsidR="007E16BE" w:rsidRDefault="000A5A0A">
      <w:pPr>
        <w:numPr>
          <w:ilvl w:val="0"/>
          <w:numId w:val="2"/>
        </w:numPr>
        <w:spacing w:before="50" w:after="60"/>
      </w:pPr>
      <w:r>
        <w:rPr>
          <w:color w:val="222222"/>
          <w:sz w:val="20"/>
          <w:szCs w:val="20"/>
        </w:rPr>
        <w:t>U.S. Department of Health and Human Services. ACA Out-of-Pocket Limit Schedule. 2024.</w:t>
      </w:r>
    </w:p>
    <w:p w14:paraId="70815663" w14:textId="77777777" w:rsidR="007E16BE" w:rsidRDefault="000A5A0A">
      <w:pPr>
        <w:numPr>
          <w:ilvl w:val="0"/>
          <w:numId w:val="2"/>
        </w:numPr>
        <w:spacing w:before="50" w:after="60"/>
      </w:pPr>
      <w:r>
        <w:rPr>
          <w:color w:val="222222"/>
          <w:sz w:val="20"/>
          <w:szCs w:val="20"/>
        </w:rPr>
        <w:t>National Academy for State Health Policy. State High-Risk Pool Historical Performance Analysis.</w:t>
      </w:r>
    </w:p>
    <w:p w14:paraId="2CDC093B" w14:textId="77777777" w:rsidR="007E16BE" w:rsidRDefault="000A5A0A">
      <w:pPr>
        <w:numPr>
          <w:ilvl w:val="0"/>
          <w:numId w:val="2"/>
        </w:numPr>
        <w:spacing w:before="50" w:after="60"/>
      </w:pPr>
      <w:r>
        <w:rPr>
          <w:color w:val="222222"/>
          <w:sz w:val="20"/>
          <w:szCs w:val="20"/>
        </w:rPr>
        <w:t>Urban Institute. Association Health Plans: Projected Impact on Coverage and Costs. 2018.</w:t>
      </w:r>
    </w:p>
    <w:p w14:paraId="105ADA41" w14:textId="77777777" w:rsidR="007E16BE" w:rsidRDefault="000A5A0A">
      <w:pPr>
        <w:numPr>
          <w:ilvl w:val="0"/>
          <w:numId w:val="2"/>
        </w:numPr>
        <w:spacing w:before="50" w:after="60"/>
      </w:pPr>
      <w:r>
        <w:rPr>
          <w:color w:val="222222"/>
          <w:sz w:val="20"/>
          <w:szCs w:val="20"/>
        </w:rPr>
        <w:t>DataUSA. Congressional District 13, Georgia: Employment and Industry Profile. 2023.</w:t>
      </w:r>
    </w:p>
    <w:p w14:paraId="08739D79" w14:textId="77777777" w:rsidR="007E16BE" w:rsidRDefault="007E16BE">
      <w:pPr>
        <w:spacing w:after="160"/>
      </w:pPr>
    </w:p>
    <w:p w14:paraId="566CE4BA" w14:textId="77777777" w:rsidR="007E16BE" w:rsidRDefault="000A5A0A">
      <w:pPr>
        <w:spacing w:before="200" w:after="60"/>
        <w:jc w:val="center"/>
      </w:pPr>
      <w:r>
        <w:rPr>
          <w:b/>
          <w:bCs/>
          <w:color w:val="2E74B5"/>
          <w:sz w:val="24"/>
          <w:szCs w:val="24"/>
        </w:rPr>
        <w:t>chavezforcongress.com</w:t>
      </w:r>
    </w:p>
    <w:p w14:paraId="2A8F8F22" w14:textId="41AF30C3" w:rsidR="007E16BE" w:rsidRDefault="000A5A0A">
      <w:pPr>
        <w:jc w:val="center"/>
      </w:pPr>
      <w:r>
        <w:rPr>
          <w:i/>
          <w:iCs/>
          <w:color w:val="999999"/>
          <w:sz w:val="17"/>
          <w:szCs w:val="17"/>
        </w:rPr>
        <w:t xml:space="preserve">Paid for by Chavez for </w:t>
      </w:r>
      <w:r w:rsidR="00791B64">
        <w:rPr>
          <w:i/>
          <w:iCs/>
          <w:color w:val="999999"/>
          <w:sz w:val="17"/>
          <w:szCs w:val="17"/>
        </w:rPr>
        <w:t>Congress | Conyers</w:t>
      </w:r>
      <w:r>
        <w:rPr>
          <w:i/>
          <w:iCs/>
          <w:color w:val="999999"/>
          <w:sz w:val="17"/>
          <w:szCs w:val="17"/>
        </w:rPr>
        <w:t xml:space="preserve">, </w:t>
      </w:r>
      <w:r w:rsidR="00791B64">
        <w:rPr>
          <w:i/>
          <w:iCs/>
          <w:color w:val="999999"/>
          <w:sz w:val="17"/>
          <w:szCs w:val="17"/>
        </w:rPr>
        <w:t>Georgia | Rockdale</w:t>
      </w:r>
      <w:r>
        <w:rPr>
          <w:i/>
          <w:iCs/>
          <w:color w:val="999999"/>
          <w:sz w:val="17"/>
          <w:szCs w:val="17"/>
        </w:rPr>
        <w:t xml:space="preserve"> County</w:t>
      </w:r>
    </w:p>
    <w:sectPr w:rsidR="007E16BE">
      <w:headerReference w:type="default" r:id="rId8"/>
      <w:footerReference w:type="default" r:id="rId9"/>
      <w:pgSz w:w="12240" w:h="15840"/>
      <w:pgMar w:top="1440" w:right="1260" w:bottom="1440" w:left="126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02973A" w14:textId="77777777" w:rsidR="001A2764" w:rsidRDefault="001A2764">
      <w:r>
        <w:separator/>
      </w:r>
    </w:p>
  </w:endnote>
  <w:endnote w:type="continuationSeparator" w:id="0">
    <w:p w14:paraId="2F6C4601" w14:textId="77777777" w:rsidR="001A2764" w:rsidRDefault="001A2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BE51C8" w14:textId="16A30E60" w:rsidR="007E16BE" w:rsidRDefault="00047F47">
    <w:pPr>
      <w:pBdr>
        <w:top w:val="single" w:sz="4" w:space="1" w:color="2E75B6"/>
      </w:pBdr>
      <w:spacing w:before="80"/>
      <w:jc w:val="center"/>
    </w:pPr>
    <w:r>
      <w:rPr>
        <w:color w:val="888888"/>
        <w:sz w:val="16"/>
        <w:szCs w:val="16"/>
      </w:rPr>
      <w:t xml:space="preserve">jonathanchavezforcongress.com | Page </w:t>
    </w:r>
    <w:r>
      <w:rPr>
        <w:color w:val="888888"/>
        <w:sz w:val="16"/>
        <w:szCs w:val="16"/>
      </w:rPr>
      <w:fldChar w:fldCharType="begin"/>
    </w:r>
    <w:r>
      <w:rPr>
        <w:color w:val="888888"/>
        <w:sz w:val="16"/>
        <w:szCs w:val="16"/>
      </w:rPr>
      <w:instrText>PAGE</w:instrText>
    </w:r>
    <w:r>
      <w:rPr>
        <w:color w:val="888888"/>
        <w:sz w:val="16"/>
        <w:szCs w:val="16"/>
      </w:rPr>
      <w:fldChar w:fldCharType="separate"/>
    </w:r>
    <w:r w:rsidR="000A129E">
      <w:rPr>
        <w:noProof/>
        <w:color w:val="888888"/>
        <w:sz w:val="16"/>
        <w:szCs w:val="16"/>
      </w:rPr>
      <w:t>1</w:t>
    </w:r>
    <w:r>
      <w:rPr>
        <w:color w:val="888888"/>
        <w:sz w:val="16"/>
        <w:szCs w:val="16"/>
      </w:rPr>
      <w:fldChar w:fldCharType="end"/>
    </w:r>
    <w:r>
      <w:rPr>
        <w:color w:val="888888"/>
        <w:sz w:val="16"/>
        <w:szCs w:val="16"/>
      </w:rPr>
      <w:t xml:space="preserve"> of </w:t>
    </w:r>
    <w:r>
      <w:rPr>
        <w:color w:val="888888"/>
        <w:sz w:val="16"/>
        <w:szCs w:val="16"/>
      </w:rPr>
      <w:fldChar w:fldCharType="begin"/>
    </w:r>
    <w:r>
      <w:rPr>
        <w:color w:val="888888"/>
        <w:sz w:val="16"/>
        <w:szCs w:val="16"/>
      </w:rPr>
      <w:instrText>NUMPAGES</w:instrText>
    </w:r>
    <w:r>
      <w:rPr>
        <w:color w:val="888888"/>
        <w:sz w:val="16"/>
        <w:szCs w:val="16"/>
      </w:rPr>
      <w:fldChar w:fldCharType="separate"/>
    </w:r>
    <w:r w:rsidR="000A129E">
      <w:rPr>
        <w:noProof/>
        <w:color w:val="888888"/>
        <w:sz w:val="16"/>
        <w:szCs w:val="16"/>
      </w:rPr>
      <w:t>2</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B0D14A" w14:textId="77777777" w:rsidR="001A2764" w:rsidRDefault="001A2764">
      <w:r>
        <w:separator/>
      </w:r>
    </w:p>
  </w:footnote>
  <w:footnote w:type="continuationSeparator" w:id="0">
    <w:p w14:paraId="098CF213" w14:textId="77777777" w:rsidR="001A2764" w:rsidRDefault="001A2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A11C9E" w14:textId="122C057D" w:rsidR="007E16BE" w:rsidRDefault="000A5A0A">
    <w:pPr>
      <w:pBdr>
        <w:bottom w:val="single" w:sz="6" w:space="1" w:color="2E75B6"/>
      </w:pBdr>
      <w:spacing w:after="80"/>
      <w:jc w:val="center"/>
    </w:pPr>
    <w:r>
      <w:rPr>
        <w:i/>
        <w:iCs/>
        <w:color w:val="555555"/>
        <w:sz w:val="18"/>
        <w:szCs w:val="18"/>
      </w:rPr>
      <w:t xml:space="preserve">Jonathan Chavez for </w:t>
    </w:r>
    <w:r w:rsidR="00047F47">
      <w:rPr>
        <w:i/>
        <w:iCs/>
        <w:color w:val="555555"/>
        <w:sz w:val="18"/>
        <w:szCs w:val="18"/>
      </w:rPr>
      <w:t>Congress | GA</w:t>
    </w:r>
    <w:r>
      <w:rPr>
        <w:i/>
        <w:iCs/>
        <w:color w:val="555555"/>
        <w:sz w:val="18"/>
        <w:szCs w:val="18"/>
      </w:rPr>
      <w:t xml:space="preserve">-13 Healthcare Policy </w:t>
    </w:r>
    <w:r w:rsidR="00047F47">
      <w:rPr>
        <w:i/>
        <w:iCs/>
        <w:color w:val="555555"/>
        <w:sz w:val="18"/>
        <w:szCs w:val="18"/>
      </w:rPr>
      <w:t>Platform |</w:t>
    </w:r>
    <w:r>
      <w:rPr>
        <w:i/>
        <w:iCs/>
        <w:color w:val="555555"/>
        <w:sz w:val="18"/>
        <w:szCs w:val="18"/>
      </w:rPr>
      <w:t xml:space="preserve"> </w:t>
    </w:r>
    <w:r w:rsidR="00047F47">
      <w:rPr>
        <w:i/>
        <w:iCs/>
        <w:color w:val="555555"/>
        <w:sz w:val="18"/>
        <w:szCs w:val="18"/>
      </w:rPr>
      <w:t>jonathan</w:t>
    </w:r>
    <w:r>
      <w:rPr>
        <w:i/>
        <w:iCs/>
        <w:color w:val="555555"/>
        <w:sz w:val="18"/>
        <w:szCs w:val="18"/>
      </w:rPr>
      <w:t>chavezforcongress.com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71E06EB"/>
    <w:multiLevelType w:val="hybridMultilevel"/>
    <w:tmpl w:val="2418347E"/>
    <w:lvl w:ilvl="0" w:tplc="0BF65B08">
      <w:start w:val="1"/>
      <w:numFmt w:val="decimal"/>
      <w:lvlText w:val="%1."/>
      <w:lvlJc w:val="left"/>
      <w:pPr>
        <w:ind w:left="720" w:hanging="360"/>
      </w:pPr>
    </w:lvl>
    <w:lvl w:ilvl="1" w:tplc="C71CEFCA">
      <w:numFmt w:val="decimal"/>
      <w:lvlText w:val=""/>
      <w:lvlJc w:val="left"/>
    </w:lvl>
    <w:lvl w:ilvl="2" w:tplc="A88A27DC">
      <w:numFmt w:val="decimal"/>
      <w:lvlText w:val=""/>
      <w:lvlJc w:val="left"/>
    </w:lvl>
    <w:lvl w:ilvl="3" w:tplc="AD4A92FE">
      <w:numFmt w:val="decimal"/>
      <w:lvlText w:val=""/>
      <w:lvlJc w:val="left"/>
    </w:lvl>
    <w:lvl w:ilvl="4" w:tplc="861670AE">
      <w:numFmt w:val="decimal"/>
      <w:lvlText w:val=""/>
      <w:lvlJc w:val="left"/>
    </w:lvl>
    <w:lvl w:ilvl="5" w:tplc="3800ACBC">
      <w:numFmt w:val="decimal"/>
      <w:lvlText w:val=""/>
      <w:lvlJc w:val="left"/>
    </w:lvl>
    <w:lvl w:ilvl="6" w:tplc="3790FD5C">
      <w:numFmt w:val="decimal"/>
      <w:lvlText w:val=""/>
      <w:lvlJc w:val="left"/>
    </w:lvl>
    <w:lvl w:ilvl="7" w:tplc="7DB62A98">
      <w:numFmt w:val="decimal"/>
      <w:lvlText w:val=""/>
      <w:lvlJc w:val="left"/>
    </w:lvl>
    <w:lvl w:ilvl="8" w:tplc="6B18FD92">
      <w:numFmt w:val="decimal"/>
      <w:lvlText w:val=""/>
      <w:lvlJc w:val="left"/>
    </w:lvl>
  </w:abstractNum>
  <w:abstractNum w:abstractNumId="1" w15:restartNumberingAfterBreak="0">
    <w:nsid w:val="54DE074D"/>
    <w:multiLevelType w:val="hybridMultilevel"/>
    <w:tmpl w:val="A9F819DC"/>
    <w:lvl w:ilvl="0" w:tplc="5D26009A">
      <w:start w:val="1"/>
      <w:numFmt w:val="bullet"/>
      <w:lvlText w:val="•"/>
      <w:lvlJc w:val="left"/>
      <w:pPr>
        <w:ind w:left="720" w:hanging="360"/>
      </w:pPr>
    </w:lvl>
    <w:lvl w:ilvl="1" w:tplc="8A9E37E8">
      <w:numFmt w:val="decimal"/>
      <w:lvlText w:val=""/>
      <w:lvlJc w:val="left"/>
    </w:lvl>
    <w:lvl w:ilvl="2" w:tplc="258835B4">
      <w:numFmt w:val="decimal"/>
      <w:lvlText w:val=""/>
      <w:lvlJc w:val="left"/>
    </w:lvl>
    <w:lvl w:ilvl="3" w:tplc="99B05F10">
      <w:numFmt w:val="decimal"/>
      <w:lvlText w:val=""/>
      <w:lvlJc w:val="left"/>
    </w:lvl>
    <w:lvl w:ilvl="4" w:tplc="8048B1B6">
      <w:numFmt w:val="decimal"/>
      <w:lvlText w:val=""/>
      <w:lvlJc w:val="left"/>
    </w:lvl>
    <w:lvl w:ilvl="5" w:tplc="23084002">
      <w:numFmt w:val="decimal"/>
      <w:lvlText w:val=""/>
      <w:lvlJc w:val="left"/>
    </w:lvl>
    <w:lvl w:ilvl="6" w:tplc="DDBC1B12">
      <w:numFmt w:val="decimal"/>
      <w:lvlText w:val=""/>
      <w:lvlJc w:val="left"/>
    </w:lvl>
    <w:lvl w:ilvl="7" w:tplc="061CB0C8">
      <w:numFmt w:val="decimal"/>
      <w:lvlText w:val=""/>
      <w:lvlJc w:val="left"/>
    </w:lvl>
    <w:lvl w:ilvl="8" w:tplc="74A43AAE">
      <w:numFmt w:val="decimal"/>
      <w:lvlText w:val=""/>
      <w:lvlJc w:val="left"/>
    </w:lvl>
  </w:abstractNum>
  <w:abstractNum w:abstractNumId="2" w15:restartNumberingAfterBreak="0">
    <w:nsid w:val="6EA45855"/>
    <w:multiLevelType w:val="hybridMultilevel"/>
    <w:tmpl w:val="01209A3C"/>
    <w:lvl w:ilvl="0" w:tplc="8FF4EF1C">
      <w:start w:val="1"/>
      <w:numFmt w:val="bullet"/>
      <w:lvlText w:val="●"/>
      <w:lvlJc w:val="left"/>
      <w:pPr>
        <w:ind w:left="720" w:hanging="360"/>
      </w:pPr>
    </w:lvl>
    <w:lvl w:ilvl="1" w:tplc="B3C2CC80">
      <w:start w:val="1"/>
      <w:numFmt w:val="bullet"/>
      <w:lvlText w:val="○"/>
      <w:lvlJc w:val="left"/>
      <w:pPr>
        <w:ind w:left="1440" w:hanging="360"/>
      </w:pPr>
    </w:lvl>
    <w:lvl w:ilvl="2" w:tplc="D71E565C">
      <w:start w:val="1"/>
      <w:numFmt w:val="bullet"/>
      <w:lvlText w:val="■"/>
      <w:lvlJc w:val="left"/>
      <w:pPr>
        <w:ind w:left="2160" w:hanging="360"/>
      </w:pPr>
    </w:lvl>
    <w:lvl w:ilvl="3" w:tplc="A0BA92CE">
      <w:start w:val="1"/>
      <w:numFmt w:val="bullet"/>
      <w:lvlText w:val="●"/>
      <w:lvlJc w:val="left"/>
      <w:pPr>
        <w:ind w:left="2880" w:hanging="360"/>
      </w:pPr>
    </w:lvl>
    <w:lvl w:ilvl="4" w:tplc="5E8CB44C">
      <w:start w:val="1"/>
      <w:numFmt w:val="bullet"/>
      <w:lvlText w:val="○"/>
      <w:lvlJc w:val="left"/>
      <w:pPr>
        <w:ind w:left="3600" w:hanging="360"/>
      </w:pPr>
    </w:lvl>
    <w:lvl w:ilvl="5" w:tplc="5A7C9E80">
      <w:start w:val="1"/>
      <w:numFmt w:val="bullet"/>
      <w:lvlText w:val="■"/>
      <w:lvlJc w:val="left"/>
      <w:pPr>
        <w:ind w:left="4320" w:hanging="360"/>
      </w:pPr>
    </w:lvl>
    <w:lvl w:ilvl="6" w:tplc="2438D0CC">
      <w:start w:val="1"/>
      <w:numFmt w:val="bullet"/>
      <w:lvlText w:val="●"/>
      <w:lvlJc w:val="left"/>
      <w:pPr>
        <w:ind w:left="5040" w:hanging="360"/>
      </w:pPr>
    </w:lvl>
    <w:lvl w:ilvl="7" w:tplc="B418905E">
      <w:start w:val="1"/>
      <w:numFmt w:val="bullet"/>
      <w:lvlText w:val="●"/>
      <w:lvlJc w:val="left"/>
      <w:pPr>
        <w:ind w:left="5760" w:hanging="360"/>
      </w:pPr>
    </w:lvl>
    <w:lvl w:ilvl="8" w:tplc="EEE8D4EA">
      <w:start w:val="1"/>
      <w:numFmt w:val="bullet"/>
      <w:lvlText w:val="●"/>
      <w:lvlJc w:val="left"/>
      <w:pPr>
        <w:ind w:left="6480" w:hanging="360"/>
      </w:pPr>
    </w:lvl>
  </w:abstractNum>
  <w:num w:numId="1" w16cid:durableId="2112780041">
    <w:abstractNumId w:val="2"/>
    <w:lvlOverride w:ilvl="0">
      <w:startOverride w:val="1"/>
    </w:lvlOverride>
  </w:num>
  <w:num w:numId="2" w16cid:durableId="939458576">
    <w:abstractNumId w:val="1"/>
    <w:lvlOverride w:ilvl="0">
      <w:startOverride w:val="1"/>
    </w:lvlOverride>
  </w:num>
  <w:num w:numId="3" w16cid:durableId="146403268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6BE"/>
    <w:rsid w:val="00047F47"/>
    <w:rsid w:val="000A129E"/>
    <w:rsid w:val="000A5A0A"/>
    <w:rsid w:val="00137AF7"/>
    <w:rsid w:val="001A2764"/>
    <w:rsid w:val="00471F95"/>
    <w:rsid w:val="006C31CC"/>
    <w:rsid w:val="007604AC"/>
    <w:rsid w:val="00791B64"/>
    <w:rsid w:val="007E16BE"/>
    <w:rsid w:val="008A43F3"/>
    <w:rsid w:val="00A32BC8"/>
    <w:rsid w:val="00D03F4D"/>
    <w:rsid w:val="00D84EC9"/>
    <w:rsid w:val="00DE1261"/>
    <w:rsid w:val="00E9612C"/>
    <w:rsid w:val="00F62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B959B5"/>
  <w15:docId w15:val="{E903C1CC-F24E-644A-A044-3A0DA68EA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20"/>
      <w:outlineLvl w:val="0"/>
    </w:pPr>
    <w:rPr>
      <w:b/>
      <w:bCs/>
      <w:color w:val="1F3864"/>
      <w:sz w:val="32"/>
      <w:szCs w:val="32"/>
    </w:rPr>
  </w:style>
  <w:style w:type="paragraph" w:styleId="Heading2">
    <w:name w:val="heading 2"/>
    <w:uiPriority w:val="9"/>
    <w:unhideWhenUsed/>
    <w:qFormat/>
    <w:pPr>
      <w:spacing w:before="240" w:after="100"/>
      <w:outlineLvl w:val="1"/>
    </w:pPr>
    <w:rPr>
      <w:b/>
      <w:bCs/>
      <w:color w:val="1F3864"/>
      <w:sz w:val="26"/>
      <w:szCs w:val="26"/>
    </w:rPr>
  </w:style>
  <w:style w:type="paragraph" w:styleId="Heading3">
    <w:name w:val="heading 3"/>
    <w:uiPriority w:val="9"/>
    <w:unhideWhenUsed/>
    <w:qFormat/>
    <w:pPr>
      <w:spacing w:before="200" w:after="80"/>
      <w:outlineLvl w:val="2"/>
    </w:pPr>
    <w:rPr>
      <w:b/>
      <w:bCs/>
      <w:color w:val="C00000"/>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47F47"/>
    <w:pPr>
      <w:tabs>
        <w:tab w:val="center" w:pos="4680"/>
        <w:tab w:val="right" w:pos="9360"/>
      </w:tabs>
    </w:pPr>
  </w:style>
  <w:style w:type="character" w:customStyle="1" w:styleId="HeaderChar">
    <w:name w:val="Header Char"/>
    <w:basedOn w:val="DefaultParagraphFont"/>
    <w:link w:val="Header"/>
    <w:uiPriority w:val="99"/>
    <w:rsid w:val="00047F47"/>
  </w:style>
  <w:style w:type="paragraph" w:styleId="Footer">
    <w:name w:val="footer"/>
    <w:basedOn w:val="Normal"/>
    <w:link w:val="FooterChar"/>
    <w:uiPriority w:val="99"/>
    <w:unhideWhenUsed/>
    <w:rsid w:val="00047F47"/>
    <w:pPr>
      <w:tabs>
        <w:tab w:val="center" w:pos="4680"/>
        <w:tab w:val="right" w:pos="9360"/>
      </w:tabs>
    </w:pPr>
  </w:style>
  <w:style w:type="character" w:customStyle="1" w:styleId="FooterChar">
    <w:name w:val="Footer Char"/>
    <w:basedOn w:val="DefaultParagraphFont"/>
    <w:link w:val="Footer"/>
    <w:uiPriority w:val="99"/>
    <w:rsid w:val="00047F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23</Pages>
  <Words>7378</Words>
  <Characters>42061</Characters>
  <Application>Microsoft Office Word</Application>
  <DocSecurity>0</DocSecurity>
  <Lines>350</Lines>
  <Paragraphs>98</Paragraphs>
  <ScaleCrop>false</ScaleCrop>
  <Company/>
  <LinksUpToDate>false</LinksUpToDate>
  <CharactersWithSpaces>49341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Jonathan Chavez</cp:lastModifiedBy>
  <cp:revision>8</cp:revision>
  <dcterms:created xsi:type="dcterms:W3CDTF">2026-05-24T02:54:00Z</dcterms:created>
  <dcterms:modified xsi:type="dcterms:W3CDTF">2026-09-02T00:06:00Z</dcterms:modified>
</cp:coreProperties>
</file>